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76" w:rsidRDefault="00DB0A74" w:rsidP="00061540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86"/>
        <w:gridCol w:w="7"/>
        <w:gridCol w:w="1370"/>
        <w:gridCol w:w="1370"/>
        <w:gridCol w:w="1370"/>
        <w:gridCol w:w="1276"/>
        <w:gridCol w:w="1804"/>
      </w:tblGrid>
      <w:tr w:rsidR="001C5819" w:rsidTr="00EA017C">
        <w:trPr>
          <w:trHeight w:val="499"/>
        </w:trPr>
        <w:tc>
          <w:tcPr>
            <w:tcW w:w="8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企业信息</w:t>
            </w:r>
          </w:p>
        </w:tc>
      </w:tr>
      <w:tr w:rsidR="001C5819" w:rsidRPr="00E96064" w:rsidTr="00EA017C">
        <w:trPr>
          <w:trHeight w:val="499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企业名称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北京首创博桑环境科技股份有限公司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机构代码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Pr="00E96064" w:rsidRDefault="001C5819" w:rsidP="00EA017C">
            <w:pPr>
              <w:jc w:val="center"/>
              <w:rPr>
                <w:rFonts w:ascii="仿宋_GB2312" w:eastAsia="仿宋_GB2312"/>
                <w:kern w:val="0"/>
                <w:sz w:val="16"/>
                <w:szCs w:val="16"/>
              </w:rPr>
            </w:pPr>
            <w:r w:rsidRPr="00E96064">
              <w:rPr>
                <w:rFonts w:ascii="宋体" w:hAnsi="宋体" w:cs="宋体"/>
                <w:kern w:val="0"/>
                <w:sz w:val="16"/>
                <w:szCs w:val="16"/>
              </w:rPr>
              <w:t>91110108746132464M</w:t>
            </w:r>
          </w:p>
        </w:tc>
      </w:tr>
      <w:tr w:rsidR="001C5819" w:rsidTr="00EA017C">
        <w:trPr>
          <w:trHeight w:val="499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区    域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海淀区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电话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C5819" w:rsidTr="00EA017C">
        <w:trPr>
          <w:trHeight w:val="499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生态保护和环境</w:t>
            </w:r>
            <w:proofErr w:type="gramStart"/>
            <w:r>
              <w:rPr>
                <w:rFonts w:ascii="仿宋_GB2312" w:eastAsia="仿宋_GB2312" w:hint="eastAsia"/>
                <w:kern w:val="0"/>
                <w:sz w:val="24"/>
              </w:rPr>
              <w:t>治理业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产业领域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大气污染治理</w:t>
            </w:r>
          </w:p>
        </w:tc>
      </w:tr>
      <w:tr w:rsidR="001C5819" w:rsidTr="00EA017C">
        <w:trPr>
          <w:trHeight w:val="499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经济规模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中型企业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人员规模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Default="001C5819" w:rsidP="00EA017C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kern w:val="0"/>
                <w:sz w:val="24"/>
              </w:rPr>
              <w:t>65</w:t>
            </w:r>
            <w:r>
              <w:rPr>
                <w:rFonts w:ascii="仿宋_GB2312" w:eastAsia="仿宋_GB2312" w:hint="eastAsia"/>
                <w:kern w:val="0"/>
                <w:sz w:val="24"/>
              </w:rPr>
              <w:t>人</w:t>
            </w:r>
          </w:p>
        </w:tc>
      </w:tr>
      <w:tr w:rsidR="001C5819" w:rsidTr="001C5819">
        <w:trPr>
          <w:trHeight w:val="499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Pr="001C5819" w:rsidRDefault="001C5819" w:rsidP="001C5819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C5819">
              <w:rPr>
                <w:rFonts w:ascii="仿宋_GB2312" w:eastAsia="仿宋_GB2312" w:hint="eastAsia"/>
                <w:kern w:val="0"/>
                <w:sz w:val="24"/>
              </w:rPr>
              <w:t>需求名称</w:t>
            </w: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19" w:rsidRPr="001C5819" w:rsidRDefault="001C5819" w:rsidP="001C5819">
            <w:pPr>
              <w:ind w:left="87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C5819">
              <w:rPr>
                <w:rFonts w:ascii="仿宋_GB2312" w:eastAsia="仿宋_GB2312" w:hint="eastAsia"/>
                <w:kern w:val="0"/>
                <w:sz w:val="24"/>
              </w:rPr>
              <w:t>一种用于燃煤过程中具有脱硫脱硝作用的燃煤助剂开发</w:t>
            </w:r>
          </w:p>
        </w:tc>
      </w:tr>
      <w:tr w:rsidR="00A32804" w:rsidTr="00A32804">
        <w:trPr>
          <w:trHeight w:val="15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F743C3">
        <w:trPr>
          <w:trHeight w:val="33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Pr="00266262" w:rsidRDefault="00A32804" w:rsidP="00F743C3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一种用于燃煤过程中具有脱硫脱硝作用的燃煤助剂</w:t>
            </w:r>
            <w:r w:rsidR="00ED72E8" w:rsidRPr="00266262">
              <w:rPr>
                <w:rFonts w:ascii="仿宋_GB2312" w:eastAsia="仿宋_GB2312" w:hAnsi="宋体" w:cs="宋体" w:hint="eastAsia"/>
                <w:b/>
                <w:sz w:val="24"/>
              </w:rPr>
              <w:t>开发</w:t>
            </w:r>
          </w:p>
          <w:p w:rsidR="00A32804" w:rsidRDefault="00A32804" w:rsidP="00061540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我国是煤炭消费大国，而且高达70%左右用于直接燃烧或发电，商品煤平均硫分为1.01%，燃煤排放的主要大气污染物有烟尘、SO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proofErr w:type="spell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NO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x</w:t>
            </w:r>
            <w:proofErr w:type="spellEnd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、CO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等，其中燃煤排放的SO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占各类污染源总排放量的87%。尤其是在冬季取暖季，北方农村仍以散煤直接燃烧来取暖，产生的废气给大气环境带来了较大危害。</w:t>
            </w:r>
          </w:p>
          <w:p w:rsidR="00A32804" w:rsidRPr="006B72B7" w:rsidRDefault="00A32804" w:rsidP="00A3280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因此我公司拟开发出一种燃煤清洁助剂，起到同时脱硫脱硝的目的，且去除率达到80%以上，并形成示范应用，给燃煤取暖提供一种高效的脱硫脱硝方法。</w:t>
            </w:r>
          </w:p>
        </w:tc>
      </w:tr>
      <w:tr w:rsidR="00A32804" w:rsidTr="00F743C3">
        <w:trPr>
          <w:trHeight w:val="26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Pr="00266262" w:rsidRDefault="00A32804" w:rsidP="00F743C3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开发出一种用于燃煤过程中具有脱硫脱硝作用的燃煤助剂</w:t>
            </w:r>
          </w:p>
          <w:p w:rsidR="00A32804" w:rsidRPr="006B72B7" w:rsidRDefault="00A32804" w:rsidP="00061540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主要针对当前商业化的散煤燃烧治理，需对此燃煤清洁助剂的配方、燃烧温度及气氛进行研究和性能测试。其研究技术的成熟度</w:t>
            </w:r>
            <w:proofErr w:type="gramStart"/>
            <w:r>
              <w:rPr>
                <w:rFonts w:ascii="仿宋_GB2312" w:eastAsia="仿宋_GB2312" w:hAnsi="宋体" w:cs="宋体" w:hint="eastAsia"/>
                <w:sz w:val="24"/>
              </w:rPr>
              <w:t>要较为</w:t>
            </w:r>
            <w:proofErr w:type="gramEnd"/>
            <w:r>
              <w:rPr>
                <w:rFonts w:ascii="仿宋_GB2312" w:eastAsia="仿宋_GB2312" w:hAnsi="宋体" w:cs="宋体" w:hint="eastAsia"/>
                <w:sz w:val="24"/>
              </w:rPr>
              <w:t xml:space="preserve">成熟，能够实行示范应用，并且具有较为完整的散煤焚烧污染解决方案。可选择有机钙（醋酸钙、醋酸钙镁、甲酸钙等）、无机钙（石灰石、氧化钙等）、催化剂、氧化剂等成本较低的原材料进行研发。  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proofErr w:type="gramEnd"/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1831B5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8D5" w:rsidRDefault="005018D5" w:rsidP="00975092">
      <w:r>
        <w:separator/>
      </w:r>
    </w:p>
  </w:endnote>
  <w:endnote w:type="continuationSeparator" w:id="1">
    <w:p w:rsidR="005018D5" w:rsidRDefault="005018D5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8D5" w:rsidRDefault="005018D5" w:rsidP="00975092">
      <w:r>
        <w:separator/>
      </w:r>
    </w:p>
  </w:footnote>
  <w:footnote w:type="continuationSeparator" w:id="1">
    <w:p w:rsidR="005018D5" w:rsidRDefault="005018D5" w:rsidP="00975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4794"/>
    <w:rsid w:val="00061540"/>
    <w:rsid w:val="00075F1D"/>
    <w:rsid w:val="00082B88"/>
    <w:rsid w:val="000B0162"/>
    <w:rsid w:val="000B14FD"/>
    <w:rsid w:val="000B19D0"/>
    <w:rsid w:val="000B3EA2"/>
    <w:rsid w:val="000C649C"/>
    <w:rsid w:val="000F4470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831B5"/>
    <w:rsid w:val="00185AD8"/>
    <w:rsid w:val="001A6BDB"/>
    <w:rsid w:val="001C4D71"/>
    <w:rsid w:val="001C5819"/>
    <w:rsid w:val="001D20DD"/>
    <w:rsid w:val="001D2F2B"/>
    <w:rsid w:val="001D36D9"/>
    <w:rsid w:val="001D3C99"/>
    <w:rsid w:val="001F0DAF"/>
    <w:rsid w:val="001F41E1"/>
    <w:rsid w:val="001F4F1B"/>
    <w:rsid w:val="00203E16"/>
    <w:rsid w:val="00212BA9"/>
    <w:rsid w:val="00217227"/>
    <w:rsid w:val="00226CB4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72AAA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18D5"/>
    <w:rsid w:val="005023B2"/>
    <w:rsid w:val="00510D57"/>
    <w:rsid w:val="00510F09"/>
    <w:rsid w:val="0052324F"/>
    <w:rsid w:val="00546A5D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72B7"/>
    <w:rsid w:val="006D4F27"/>
    <w:rsid w:val="006E3A77"/>
    <w:rsid w:val="00701C78"/>
    <w:rsid w:val="007034D4"/>
    <w:rsid w:val="0073311B"/>
    <w:rsid w:val="00737E60"/>
    <w:rsid w:val="00762274"/>
    <w:rsid w:val="00777177"/>
    <w:rsid w:val="00780F6D"/>
    <w:rsid w:val="0078363D"/>
    <w:rsid w:val="007921CC"/>
    <w:rsid w:val="007A034D"/>
    <w:rsid w:val="007A27FA"/>
    <w:rsid w:val="007A3629"/>
    <w:rsid w:val="007A4F33"/>
    <w:rsid w:val="007B47C0"/>
    <w:rsid w:val="007C2845"/>
    <w:rsid w:val="007C7EA3"/>
    <w:rsid w:val="007E30D4"/>
    <w:rsid w:val="007F0A41"/>
    <w:rsid w:val="007F1D42"/>
    <w:rsid w:val="008050AF"/>
    <w:rsid w:val="00841738"/>
    <w:rsid w:val="0085165A"/>
    <w:rsid w:val="00852D22"/>
    <w:rsid w:val="00854908"/>
    <w:rsid w:val="008561A2"/>
    <w:rsid w:val="008678BD"/>
    <w:rsid w:val="00871BC2"/>
    <w:rsid w:val="00896A3A"/>
    <w:rsid w:val="008A1702"/>
    <w:rsid w:val="008A39BF"/>
    <w:rsid w:val="008B790E"/>
    <w:rsid w:val="008F2B88"/>
    <w:rsid w:val="00913187"/>
    <w:rsid w:val="00921CB9"/>
    <w:rsid w:val="00922B1E"/>
    <w:rsid w:val="009307F2"/>
    <w:rsid w:val="00953B71"/>
    <w:rsid w:val="0096107C"/>
    <w:rsid w:val="009741CC"/>
    <w:rsid w:val="00975092"/>
    <w:rsid w:val="00975A1F"/>
    <w:rsid w:val="009C022C"/>
    <w:rsid w:val="00A17EB9"/>
    <w:rsid w:val="00A2022C"/>
    <w:rsid w:val="00A20C56"/>
    <w:rsid w:val="00A32804"/>
    <w:rsid w:val="00A4364A"/>
    <w:rsid w:val="00AB072E"/>
    <w:rsid w:val="00B53B6C"/>
    <w:rsid w:val="00B55132"/>
    <w:rsid w:val="00B57CFD"/>
    <w:rsid w:val="00B95D29"/>
    <w:rsid w:val="00BB3CD8"/>
    <w:rsid w:val="00BC6700"/>
    <w:rsid w:val="00BD59A5"/>
    <w:rsid w:val="00C11C44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3C29"/>
    <w:rsid w:val="00D37771"/>
    <w:rsid w:val="00D47352"/>
    <w:rsid w:val="00D75331"/>
    <w:rsid w:val="00DB0A74"/>
    <w:rsid w:val="00DB4E1A"/>
    <w:rsid w:val="00DB5988"/>
    <w:rsid w:val="00DC1B67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6FE8"/>
    <w:rsid w:val="00E77464"/>
    <w:rsid w:val="00E80559"/>
    <w:rsid w:val="00E91456"/>
    <w:rsid w:val="00E95A1D"/>
    <w:rsid w:val="00E96064"/>
    <w:rsid w:val="00EA4CD4"/>
    <w:rsid w:val="00ED0461"/>
    <w:rsid w:val="00ED72A4"/>
    <w:rsid w:val="00ED72E8"/>
    <w:rsid w:val="00EF35DC"/>
    <w:rsid w:val="00EF38DF"/>
    <w:rsid w:val="00EF5D82"/>
    <w:rsid w:val="00F10694"/>
    <w:rsid w:val="00F5304C"/>
    <w:rsid w:val="00F70D76"/>
    <w:rsid w:val="00F743C3"/>
    <w:rsid w:val="00F80007"/>
    <w:rsid w:val="00F80644"/>
    <w:rsid w:val="00F808A7"/>
    <w:rsid w:val="00FA2736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B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831B5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1831B5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1831B5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1831B5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1831B5"/>
    <w:rPr>
      <w:sz w:val="18"/>
      <w:szCs w:val="18"/>
    </w:rPr>
  </w:style>
  <w:style w:type="paragraph" w:styleId="a6">
    <w:name w:val="footer"/>
    <w:basedOn w:val="a"/>
    <w:link w:val="Char2"/>
    <w:unhideWhenUsed/>
    <w:rsid w:val="00183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183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1831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1831B5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1831B5"/>
    <w:rPr>
      <w:sz w:val="18"/>
      <w:szCs w:val="18"/>
    </w:rPr>
  </w:style>
  <w:style w:type="character" w:customStyle="1" w:styleId="Char3">
    <w:name w:val="页眉 Char"/>
    <w:basedOn w:val="a0"/>
    <w:link w:val="a7"/>
    <w:rsid w:val="001831B5"/>
    <w:rPr>
      <w:sz w:val="18"/>
      <w:szCs w:val="18"/>
    </w:rPr>
  </w:style>
  <w:style w:type="character" w:customStyle="1" w:styleId="Char2">
    <w:name w:val="页脚 Char"/>
    <w:basedOn w:val="a0"/>
    <w:link w:val="a6"/>
    <w:rsid w:val="001831B5"/>
    <w:rPr>
      <w:sz w:val="18"/>
      <w:szCs w:val="18"/>
    </w:rPr>
  </w:style>
  <w:style w:type="paragraph" w:styleId="aa">
    <w:name w:val="List Paragraph"/>
    <w:basedOn w:val="a"/>
    <w:uiPriority w:val="34"/>
    <w:qFormat/>
    <w:rsid w:val="001831B5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1831B5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1831B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1831B5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1831B5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1831B5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1831B5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1831B5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263A71-7B48-4374-874D-78425698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</Words>
  <Characters>1107</Characters>
  <Application>Microsoft Office Word</Application>
  <DocSecurity>0</DocSecurity>
  <Lines>9</Lines>
  <Paragraphs>2</Paragraphs>
  <ScaleCrop>false</ScaleCrop>
  <Company>P R C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4</cp:revision>
  <cp:lastPrinted>2018-07-23T07:03:00Z</cp:lastPrinted>
  <dcterms:created xsi:type="dcterms:W3CDTF">2019-08-27T01:25:00Z</dcterms:created>
  <dcterms:modified xsi:type="dcterms:W3CDTF">2019-09-06T07:53:00Z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