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铁路货车</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用于铁路运送货物的车辆。</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拼音:tieluhuoche</w:t>
      </w:r>
    </w:p>
    <w:p>
      <w:pPr>
        <w:spacing w:beforeLines="50" w:afterLines="50" w:line="360" w:lineRule="auto"/>
      </w:pPr>
      <w:r>
        <w:rPr>
          <w:rFonts w:hint="eastAsia"/>
          <w:sz w:val="24"/>
          <w:szCs w:val="24"/>
        </w:rPr>
      </w:r>
      <w:r>
        <w:rPr>
          <w:rFonts w:hint="eastAsia"/>
          <w:sz w:val="24"/>
          <w:szCs w:val="24"/>
        </w:rPr>
        <w:t xml:space="preserve">英文名称:railway freight car</w:t>
      </w:r>
    </w:p>
    <w:p>
      <w:pPr>
        <w:spacing w:beforeLines="50" w:afterLines="50" w:line="360" w:lineRule="auto"/>
      </w:pPr>
      <w:r>
        <w:rPr>
          <w:rFonts w:hint="eastAsia"/>
          <w:sz w:val="24"/>
          <w:szCs w:val="24"/>
        </w:rPr>
      </w:r>
      <w:r>
        <w:rPr>
          <w:rFonts w:hint="eastAsia"/>
          <w:sz w:val="24"/>
          <w:szCs w:val="24"/>
        </w:rPr>
        <w:t xml:space="preserve">适用范围:铁路车辆</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主要类型</w:t>
      </w:r>
    </w:p>
    <w:p>
      <w:pPr>
        <w:spacing w:beforeLines="50" w:afterLines="50" w:line="360" w:lineRule="auto"/>
      </w:pPr>
      <w:r>
        <w:rPr>
          <w:rFonts w:hint="eastAsia"/>
          <w:sz w:val="24"/>
          <w:szCs w:val="24"/>
        </w:rPr>
      </w:r>
      <w:r>
        <w:rPr>
          <w:rFonts w:hint="eastAsia"/>
          <w:sz w:val="24"/>
          <w:szCs w:val="24"/>
        </w:rPr>
        <w:t xml:space="preserve">3 设计条件</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世界上大陆性国家铁路采取提高货车轴重、降低车辆自重等措施来提升车辆载重能力。美国重载货车大多轴重29.8～32.43吨、载重90～110吨，部分货车轴重35.7吨、载重120吨，车体材质主要为铝合金。部分不锈钢矿石车轴重40吨、载重138吨，并已增载至轴重42吨。南非重载矿石线矿石车轴重为30吨、载重约为96吨，速度一般60～80千米/时。俄罗斯普遍采用23.5吨轴重，载重量为70～80吨，27吨轴重货车正在进行相应的试验。欧洲一般采用22.5吨轴重，正向25吨轴重过渡。在速度方面，北美快捷货车运行速度达到120千米/时，个别区段达160千米/时；欧洲快捷货车速度普遍达到120～160千米/时，最高速度200千米/时。为降低全程物流成本、提高运输效率，世界各国正在研制专业化快捷</w:t>
      </w:r>
      <w:r>
        <w:rPr>
          <w:rFonts w:hint="eastAsia"/>
          <w:sz w:val="24"/>
          <w:szCs w:val="24"/>
        </w:rPr>
        <w:t xml:space="preserve">铁路</w:t>
      </w:r>
      <w:r>
        <w:rPr>
          <w:rFonts w:hint="eastAsia"/>
          <w:sz w:val="24"/>
          <w:szCs w:val="24"/>
        </w:rPr>
        <w:t xml:space="preserve">货车，如实现“门到门”运输的</w:t>
      </w:r>
      <w:r>
        <w:rPr>
          <w:rFonts w:hint="eastAsia"/>
          <w:sz w:val="24"/>
          <w:szCs w:val="24"/>
        </w:rPr>
        <w:t xml:space="preserve"> </w:t>
      </w:r>
      <w:r>
        <w:rPr>
          <w:rFonts w:hint="eastAsia"/>
          <w:color w:val="0099FF"/>
          <w:sz w:val="24"/>
          <w:szCs w:val="24"/>
        </w:rPr>
        <w:t xml:space="preserve">集装箱运输车</w:t>
      </w:r>
      <w:r>
        <w:rPr>
          <w:rFonts w:hint="eastAsia"/>
          <w:sz w:val="24"/>
          <w:szCs w:val="24"/>
        </w:rPr>
        <w:t xml:space="preserve">以及</w:t>
      </w:r>
      <w:r>
        <w:rPr>
          <w:rFonts w:hint="eastAsia"/>
          <w:sz w:val="24"/>
          <w:szCs w:val="24"/>
        </w:rPr>
        <w:t xml:space="preserve"> </w:t>
      </w:r>
      <w:r>
        <w:rPr>
          <w:rFonts w:hint="eastAsia"/>
          <w:color w:val="0099FF"/>
          <w:sz w:val="24"/>
          <w:szCs w:val="24"/>
        </w:rPr>
        <w:t xml:space="preserve">驮背运输</w:t>
      </w:r>
      <w:r>
        <w:rPr>
          <w:rFonts w:hint="eastAsia"/>
          <w:sz w:val="24"/>
          <w:szCs w:val="24"/>
        </w:rPr>
        <w:t xml:space="preserve">、公铁两用车等多式联运车辆，适应于货物集装化、散装化、冷藏化运输的各种专用货车。</w:t>
      </w:r>
    </w:p>
    <w:p>
      <w:pPr>
        <w:spacing w:beforeLines="50" w:afterLines="50" w:line="360" w:lineRule="auto"/>
        <w:ind w:firstLineChars="200"/>
      </w:pPr>
      <w:r>
        <w:rPr>
          <w:rFonts w:hint="eastAsia"/>
          <w:sz w:val="24"/>
          <w:szCs w:val="24"/>
        </w:rPr>
      </w:r>
      <w:r>
        <w:rPr>
          <w:rFonts w:hint="eastAsia"/>
          <w:sz w:val="24"/>
          <w:szCs w:val="24"/>
        </w:rPr>
        <w:t xml:space="preserve">中国铁路货车以载重和车体工艺材料为标志，主要实现了4次升级发展，通用线货车载重由60吨级（轴重21吨）提升为70吨级（轴重约23吨），又提升为80吨级（轴重27吨），专用线货车载重由80吨级（轴重25吨）提升为100吨级（轴重30吨），中国出口澳大利亚货车轴重达40吨和42吨。车体材料由碳素结构钢或钢木混合的铆接结构改为全碳素结构钢焊接结构、铜磷或铬镍系列的耐候钢。通用货车车体普遍采用Q450NQR1高强度耐候钢，大秦线专用货车车体部分采用不锈钢或铝合金材料。车辆运行速度由50～60千米/时提高到100～120千米/时，交叉支撑式、侧架摆动式、副构架径向式等不同结构型式的转向架运行平稳、磨耗轻微、运行可靠性高、检修成本低。通过采用新结构、新材料、新工艺，轻量化水平提升，适用性增强，可靠性提高，惯性质量问题减少，在中国铁路特有的“客货共线、提速重载、高效周转”的运用条件下，保证了货物安全运输。</w:t>
      </w:r>
    </w:p>
    <w:p>
      <w:pPr>
        <w:spacing w:beforeLines="50" w:afterLines="50" w:line="360" w:lineRule="auto"/>
        <w:jc w:val="center"/>
      </w:pPr>
      <w:r>
        <w:rPr>
          <w:rFonts w:hint="eastAsia"/>
          <w:sz w:val="24"/>
          <w:szCs w:val="24"/>
        </w:rPr>
      </w:r>
      <w:drawing>
        <wp:inline distT="0" distB="0" distL="0" distR="0">
          <wp:extent cx="4160000" cy="30090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30553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停放在编组站的铁路货车</w:t>
      </w:r>
    </w:p>
    <w:p>
      <w:pPr>
        <w:spacing w:beforeLines="50" w:afterLines="50" w:line="360" w:lineRule="auto"/>
        <w:jc w:val="center"/>
      </w:pPr>
      <w:r>
        <w:rPr>
          <w:rFonts w:hint="eastAsia"/>
          <w:sz w:val="24"/>
          <w:szCs w:val="24"/>
        </w:rPr>
      </w:r>
      <w:r>
        <w:rPr>
          <w:rFonts w:hint="eastAsia"/>
          <w:sz w:val="24"/>
          <w:szCs w:val="24"/>
        </w:rPr>
        <w:t xml:space="preserve">陕西西安新丰镇，铁路货车编组站日均办理货车数突破3万辆，作为中国西部最大的铁路编组站，对畅通东西部物流通道，推动丝绸之路经济带建设提供重要的运力保障。</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主要类型</w:t>
      </w:r>
    </w:p>
    <w:p>
      <w:pPr>
        <w:spacing w:beforeLines="50" w:afterLines="50" w:line="360" w:lineRule="auto"/>
        <w:ind w:firstLineChars="200"/>
      </w:pPr>
      <w:r>
        <w:rPr>
          <w:rFonts w:hint="eastAsia"/>
          <w:sz w:val="24"/>
          <w:szCs w:val="24"/>
        </w:rPr>
      </w:r>
      <w:r>
        <w:rPr>
          <w:rFonts w:hint="eastAsia"/>
          <w:sz w:val="24"/>
          <w:szCs w:val="24"/>
        </w:rPr>
        <w:t xml:space="preserve">根据不同货物运输要求和适应范围，分为通用货车和专用货车。能够适应装运多种货物要求的铁路货车称为通用货车，具有适应性强、利用率高、回空少等优点。专用货车是在通用货车的基础上发展起来的，按装运货物的品种不同和装、卸货方式不同设计。专用货车能较好地适应货物运输要求，充分利用车辆载重量，保证货物的完整，利于货物的机械化和自动化装卸，加速车辆周转。特种货车是运输特殊货物的专用货车。</w:t>
      </w:r>
    </w:p>
    <w:p>
      <w:pPr>
        <w:spacing w:beforeLines="50" w:afterLines="50" w:line="360" w:lineRule="auto"/>
        <w:ind w:firstLineChars="200"/>
      </w:pPr>
      <w:r>
        <w:rPr>
          <w:rFonts w:hint="eastAsia"/>
          <w:sz w:val="24"/>
          <w:szCs w:val="24"/>
        </w:rPr>
      </w:r>
      <w:r>
        <w:rPr>
          <w:rFonts w:hint="eastAsia"/>
          <w:sz w:val="24"/>
          <w:szCs w:val="24"/>
        </w:rPr>
        <w:t xml:space="preserve">按货车结构和所运货物的种类不同，货车可分为敞车、棚车、平车、罐车、漏斗车、保温车、长大货物车等，其符号见表。</w:t>
      </w:r>
    </w:p>
    <w:p>
      <w:pPr>
        <w:spacing w:beforeLines="50" w:afterLines="50" w:line="360" w:lineRule="auto"/>
        <w:ind w:firstLineChars="200"/>
        <w:jc w:val="center"/>
      </w:pPr>
      <w:r>
        <w:rPr>
          <w:rFonts w:hint="eastAsia"/>
          <w:sz w:val="24"/>
          <w:szCs w:val="24"/>
        </w:rPr>
      </w:r>
      <w:r>
        <w:rPr>
          <w:rFonts w:hint="eastAsia"/>
          <w:sz w:val="24"/>
          <w:szCs w:val="24"/>
        </w:rPr>
        <w:t xml:space="preserve">部分货车车种及其符号表</w:t>
      </w:r>
    </w:p>
    <w:tbl>
      <w:tblPr>
        <w:tblStyle w:val="TableGrid"/>
        <w:tblW w:w="0" w:type="auto"/>
        <w:jc w:val="center"/>
        <w:tblLook w:val="04A0"/>
      </w:tblPr>
      <w:tblGrid>
        <w:gridCol w:w="2256"/>
        <w:gridCol w:w="2256"/>
        <w:gridCol w:w="2256"/>
        <w:gridCol w:w="2256"/>
      </w:tblGrid>
      <w:tr>
        <w:tc>
          <w:tcPr>
            <w:tcW w:w="0" w:type="auto"/>
          </w:tcPr>
          <w:p>
            <w:r>
              <w:rPr>
                <w:rFonts w:hint="eastAsia"/>
                <w:sz w:val="24"/>
                <w:szCs w:val="24"/>
              </w:rPr>
              <w:t xml:space="preserve">车种</w:t>
            </w:r>
          </w:p>
        </w:tc>
        <w:tc>
          <w:tcPr>
            <w:tcW w:w="0" w:type="auto"/>
          </w:tcPr>
          <w:p>
            <w:r>
              <w:rPr>
                <w:rFonts w:hint="eastAsia"/>
                <w:sz w:val="24"/>
                <w:szCs w:val="24"/>
              </w:rPr>
              <w:t xml:space="preserve">符号</w:t>
            </w:r>
          </w:p>
        </w:tc>
        <w:tc>
          <w:tcPr>
            <w:tcW w:w="0" w:type="auto"/>
          </w:tcPr>
          <w:p>
            <w:r>
              <w:rPr>
                <w:rFonts w:hint="eastAsia"/>
                <w:sz w:val="24"/>
                <w:szCs w:val="24"/>
              </w:rPr>
              <w:t xml:space="preserve">车种</w:t>
            </w:r>
          </w:p>
        </w:tc>
        <w:tc>
          <w:tcPr>
            <w:tcW w:w="0" w:type="auto"/>
          </w:tcPr>
          <w:p>
            <w:r>
              <w:rPr>
                <w:rFonts w:hint="eastAsia"/>
                <w:sz w:val="24"/>
                <w:szCs w:val="24"/>
              </w:rPr>
              <w:t xml:space="preserve">符号</w:t>
            </w:r>
          </w:p>
        </w:tc>
      </w:tr>
      <w:tr>
        <w:tc>
          <w:tcPr>
            <w:tcW w:w="0" w:type="auto"/>
          </w:tcPr>
          <w:p>
            <w:r>
              <w:rPr>
                <w:rFonts w:hint="eastAsia"/>
                <w:sz w:val="24"/>
                <w:szCs w:val="24"/>
              </w:rPr>
              <w:t xml:space="preserve">敞车</w:t>
            </w:r>
          </w:p>
        </w:tc>
        <w:tc>
          <w:tcPr>
            <w:tcW w:w="0" w:type="auto"/>
          </w:tcPr>
          <w:p>
            <w:r>
              <w:rPr>
                <w:rFonts w:hint="eastAsia"/>
                <w:sz w:val="24"/>
                <w:szCs w:val="24"/>
              </w:rPr>
              <w:t xml:space="preserve">C</w:t>
            </w:r>
          </w:p>
        </w:tc>
        <w:tc>
          <w:tcPr>
            <w:tcW w:w="0" w:type="auto"/>
          </w:tcPr>
          <w:p>
            <w:r>
              <w:rPr>
                <w:rFonts w:hint="eastAsia"/>
                <w:sz w:val="24"/>
                <w:szCs w:val="24"/>
              </w:rPr>
              <w:t xml:space="preserve">漏斗车（粮食）</w:t>
            </w:r>
          </w:p>
        </w:tc>
        <w:tc>
          <w:tcPr>
            <w:tcW w:w="0" w:type="auto"/>
          </w:tcPr>
          <w:p>
            <w:r>
              <w:rPr>
                <w:rFonts w:hint="eastAsia"/>
                <w:sz w:val="24"/>
                <w:szCs w:val="24"/>
              </w:rPr>
              <w:t xml:space="preserve">L</w:t>
            </w:r>
          </w:p>
        </w:tc>
      </w:tr>
      <w:tr>
        <w:tc>
          <w:tcPr>
            <w:tcW w:w="0" w:type="auto"/>
          </w:tcPr>
          <w:p>
            <w:r>
              <w:rPr>
                <w:rFonts w:hint="eastAsia"/>
                <w:sz w:val="24"/>
                <w:szCs w:val="24"/>
              </w:rPr>
              <w:t xml:space="preserve">棚车</w:t>
            </w:r>
          </w:p>
        </w:tc>
        <w:tc>
          <w:tcPr>
            <w:tcW w:w="0" w:type="auto"/>
          </w:tcPr>
          <w:p>
            <w:r>
              <w:rPr>
                <w:rFonts w:hint="eastAsia"/>
                <w:sz w:val="24"/>
                <w:szCs w:val="24"/>
              </w:rPr>
              <w:t xml:space="preserve">P</w:t>
            </w:r>
          </w:p>
        </w:tc>
        <w:tc>
          <w:tcPr>
            <w:tcW w:w="0" w:type="auto"/>
          </w:tcPr>
          <w:p>
            <w:r>
              <w:rPr>
                <w:rFonts w:hint="eastAsia"/>
                <w:sz w:val="24"/>
                <w:szCs w:val="24"/>
              </w:rPr>
              <w:t xml:space="preserve">保温车</w:t>
            </w:r>
          </w:p>
        </w:tc>
        <w:tc>
          <w:tcPr>
            <w:tcW w:w="0" w:type="auto"/>
          </w:tcPr>
          <w:p>
            <w:r>
              <w:rPr>
                <w:rFonts w:hint="eastAsia"/>
                <w:sz w:val="24"/>
                <w:szCs w:val="24"/>
              </w:rPr>
              <w:t xml:space="preserve">B</w:t>
            </w:r>
          </w:p>
        </w:tc>
      </w:tr>
      <w:tr>
        <w:tc>
          <w:tcPr>
            <w:tcW w:w="0" w:type="auto"/>
          </w:tcPr>
          <w:p>
            <w:r>
              <w:rPr>
                <w:rFonts w:hint="eastAsia"/>
                <w:sz w:val="24"/>
                <w:szCs w:val="24"/>
              </w:rPr>
              <w:t xml:space="preserve">平车</w:t>
            </w:r>
          </w:p>
        </w:tc>
        <w:tc>
          <w:tcPr>
            <w:tcW w:w="0" w:type="auto"/>
          </w:tcPr>
          <w:p>
            <w:r>
              <w:rPr>
                <w:rFonts w:hint="eastAsia"/>
                <w:sz w:val="24"/>
                <w:szCs w:val="24"/>
              </w:rPr>
              <w:t xml:space="preserve">N</w:t>
            </w:r>
          </w:p>
        </w:tc>
        <w:tc>
          <w:tcPr>
            <w:tcW w:w="0" w:type="auto"/>
          </w:tcPr>
          <w:p>
            <w:r>
              <w:rPr>
                <w:rFonts w:hint="eastAsia"/>
                <w:sz w:val="24"/>
                <w:szCs w:val="24"/>
              </w:rPr>
              <w:t xml:space="preserve">长大货物车</w:t>
            </w:r>
          </w:p>
        </w:tc>
        <w:tc>
          <w:tcPr>
            <w:tcW w:w="0" w:type="auto"/>
          </w:tcPr>
          <w:p>
            <w:r>
              <w:rPr>
                <w:rFonts w:hint="eastAsia"/>
                <w:sz w:val="24"/>
                <w:szCs w:val="24"/>
              </w:rPr>
              <w:t xml:space="preserve">D</w:t>
            </w:r>
          </w:p>
        </w:tc>
      </w:tr>
      <w:tr>
        <w:tc>
          <w:tcPr>
            <w:tcW w:w="0" w:type="auto"/>
          </w:tcPr>
          <w:p>
            <w:r>
              <w:rPr>
                <w:rFonts w:hint="eastAsia"/>
                <w:sz w:val="24"/>
                <w:szCs w:val="24"/>
              </w:rPr>
              <w:t xml:space="preserve">集装箱车</w:t>
            </w:r>
          </w:p>
        </w:tc>
        <w:tc>
          <w:tcPr>
            <w:tcW w:w="0" w:type="auto"/>
          </w:tcPr>
          <w:p>
            <w:r>
              <w:rPr>
                <w:rFonts w:hint="eastAsia"/>
                <w:sz w:val="24"/>
                <w:szCs w:val="24"/>
              </w:rPr>
              <w:t xml:space="preserve">X</w:t>
            </w:r>
          </w:p>
        </w:tc>
        <w:tc>
          <w:tcPr>
            <w:tcW w:w="0" w:type="auto"/>
          </w:tcPr>
          <w:p>
            <w:r>
              <w:rPr>
                <w:rFonts w:hint="eastAsia"/>
                <w:sz w:val="24"/>
                <w:szCs w:val="24"/>
              </w:rPr>
              <w:t xml:space="preserve">自翻车</w:t>
            </w:r>
          </w:p>
        </w:tc>
        <w:tc>
          <w:tcPr>
            <w:tcW w:w="0" w:type="auto"/>
          </w:tcPr>
          <w:p>
            <w:r>
              <w:rPr>
                <w:rFonts w:hint="eastAsia"/>
                <w:sz w:val="24"/>
                <w:szCs w:val="24"/>
              </w:rPr>
              <w:t xml:space="preserve">KF</w:t>
            </w:r>
          </w:p>
        </w:tc>
      </w:tr>
      <w:tr>
        <w:tc>
          <w:tcPr>
            <w:tcW w:w="0" w:type="auto"/>
          </w:tcPr>
          <w:p>
            <w:r>
              <w:rPr>
                <w:rFonts w:hint="eastAsia"/>
                <w:sz w:val="24"/>
                <w:szCs w:val="24"/>
              </w:rPr>
              <w:t xml:space="preserve">罐车</w:t>
            </w:r>
          </w:p>
        </w:tc>
        <w:tc>
          <w:tcPr>
            <w:tcW w:w="0" w:type="auto"/>
          </w:tcPr>
          <w:p>
            <w:r>
              <w:rPr>
                <w:rFonts w:hint="eastAsia"/>
                <w:sz w:val="24"/>
                <w:szCs w:val="24"/>
              </w:rPr>
              <w:t xml:space="preserve">G</w:t>
            </w:r>
          </w:p>
        </w:tc>
        <w:tc>
          <w:tcPr>
            <w:tcW w:w="0" w:type="auto"/>
          </w:tcPr>
          <w:p>
            <w:r>
              <w:rPr>
                <w:rFonts w:hint="eastAsia"/>
                <w:sz w:val="24"/>
                <w:szCs w:val="24"/>
              </w:rPr>
              <w:t xml:space="preserve">平车-集装箱共用车</w:t>
            </w:r>
          </w:p>
        </w:tc>
        <w:tc>
          <w:tcPr>
            <w:tcW w:w="0" w:type="auto"/>
          </w:tcPr>
          <w:p>
            <w:r>
              <w:rPr>
                <w:rFonts w:hint="eastAsia"/>
                <w:sz w:val="24"/>
                <w:szCs w:val="24"/>
              </w:rPr>
              <w:t xml:space="preserve">NX</w:t>
            </w:r>
          </w:p>
        </w:tc>
      </w:tr>
      <w:tr>
        <w:tc>
          <w:tcPr>
            <w:tcW w:w="0" w:type="auto"/>
          </w:tcPr>
          <w:p>
            <w:r>
              <w:rPr>
                <w:rFonts w:hint="eastAsia"/>
                <w:sz w:val="24"/>
                <w:szCs w:val="24"/>
              </w:rPr>
              <w:t xml:space="preserve">漏斗车（矿石、煤、盐等）</w:t>
            </w:r>
          </w:p>
        </w:tc>
        <w:tc>
          <w:tcPr>
            <w:tcW w:w="0" w:type="auto"/>
          </w:tcPr>
          <w:p>
            <w:r>
              <w:rPr>
                <w:rFonts w:hint="eastAsia"/>
                <w:sz w:val="24"/>
                <w:szCs w:val="24"/>
              </w:rPr>
              <w:t xml:space="preserve">K</w:t>
            </w:r>
          </w:p>
        </w:tc>
        <w:tc>
          <w:tcPr>
            <w:tcW w:w="0" w:type="auto"/>
          </w:tcPr>
          <w:p>
            <w:r>
              <w:rPr>
                <w:rFonts w:hint="eastAsia"/>
                <w:sz w:val="24"/>
                <w:szCs w:val="24"/>
              </w:rPr>
              <w:t xml:space="preserve">运小汽车双层平车</w:t>
            </w:r>
          </w:p>
        </w:tc>
        <w:tc>
          <w:tcPr>
            <w:tcW w:w="0" w:type="auto"/>
          </w:tcPr>
          <w:p>
            <w:r>
              <w:rPr>
                <w:rFonts w:hint="eastAsia"/>
                <w:sz w:val="24"/>
                <w:szCs w:val="24"/>
              </w:rPr>
              <w:t xml:space="preserve">SQ</w:t>
            </w:r>
          </w:p>
        </w:tc>
      </w:tr>
    </w:tbl>
    <w:p>
      <w:pPr>
        <w:spacing w:beforeLines="50" w:afterLines="50" w:line="360" w:lineRule="auto"/>
        <w:ind w:firstLineChars="200"/>
      </w:pPr>
      <w:r>
        <w:rPr>
          <w:rFonts w:hint="eastAsia"/>
          <w:sz w:val="24"/>
          <w:szCs w:val="24"/>
        </w:rPr>
      </w:r>
      <w:r>
        <w:rPr>
          <w:rFonts w:hint="eastAsia"/>
          <w:sz w:val="24"/>
          <w:szCs w:val="24"/>
        </w:rPr>
        <w:t xml:space="preserve">敞车。车体四周有较高的端墙与侧墙，与地板共同构成装货空间。敞车的使用范围最广，既可运输煤炭、砂石等散碎货物，也可装运木材、钢材、机器设备等货物，若上面覆盖蓬布，也可装运怕晒、怕湿的货物。</w:t>
      </w:r>
    </w:p>
    <w:p>
      <w:pPr>
        <w:spacing w:beforeLines="50" w:afterLines="50" w:line="360" w:lineRule="auto"/>
        <w:ind w:firstLineChars="200"/>
      </w:pPr>
      <w:r>
        <w:rPr>
          <w:rFonts w:hint="eastAsia"/>
          <w:sz w:val="24"/>
          <w:szCs w:val="24"/>
        </w:rPr>
      </w:r>
      <w:r>
        <w:rPr>
          <w:rFonts w:hint="eastAsia"/>
          <w:sz w:val="24"/>
          <w:szCs w:val="24"/>
        </w:rPr>
        <w:t xml:space="preserve">棚车。具有顶棚，侧墙和棚顶均参与承载。一般用于运输防晒、防湿、较为贵重的货物。</w:t>
      </w:r>
    </w:p>
    <w:p>
      <w:pPr>
        <w:spacing w:beforeLines="50" w:afterLines="50" w:line="360" w:lineRule="auto"/>
        <w:ind w:firstLineChars="200"/>
      </w:pPr>
      <w:r>
        <w:rPr>
          <w:rFonts w:hint="eastAsia"/>
          <w:sz w:val="24"/>
          <w:szCs w:val="24"/>
        </w:rPr>
      </w:r>
      <w:r>
        <w:rPr>
          <w:rFonts w:hint="eastAsia"/>
          <w:sz w:val="24"/>
          <w:szCs w:val="24"/>
        </w:rPr>
        <w:t xml:space="preserve">平车。无侧墙和端墙，或者具有可以放倒的矮墙板，主要用于运输钢材、机器设备、集装箱、拖拉机、汽车等。带墙板的平车也可用来运送块状沙土、矿石等。</w:t>
      </w:r>
    </w:p>
    <w:p>
      <w:pPr>
        <w:spacing w:beforeLines="50" w:afterLines="50" w:line="360" w:lineRule="auto"/>
        <w:ind w:firstLineChars="200"/>
      </w:pPr>
      <w:r>
        <w:rPr>
          <w:rFonts w:hint="eastAsia"/>
          <w:sz w:val="24"/>
          <w:szCs w:val="24"/>
        </w:rPr>
      </w:r>
      <w:r>
        <w:rPr>
          <w:rFonts w:hint="eastAsia"/>
          <w:sz w:val="24"/>
          <w:szCs w:val="24"/>
        </w:rPr>
        <w:t xml:space="preserve">敞车、平车、棚车基本上属于通用货车。</w:t>
      </w:r>
    </w:p>
    <w:p>
      <w:pPr>
        <w:spacing w:beforeLines="50" w:afterLines="50" w:line="360" w:lineRule="auto"/>
        <w:ind w:firstLineChars="200"/>
      </w:pPr>
      <w:r>
        <w:rPr>
          <w:rFonts w:hint="eastAsia"/>
          <w:sz w:val="24"/>
          <w:szCs w:val="24"/>
        </w:rPr>
      </w:r>
      <w:r>
        <w:rPr>
          <w:rFonts w:hint="eastAsia"/>
          <w:sz w:val="24"/>
          <w:szCs w:val="24"/>
        </w:rPr>
        <w:t xml:space="preserve">罐车。外形一般为一个卧放的圆筒体，用于装运液体、液化气体及粉状货物。罐车从结构上可分为有底架结构和无底架结构两种。</w:t>
      </w:r>
    </w:p>
    <w:p>
      <w:pPr>
        <w:spacing w:beforeLines="50" w:afterLines="50" w:line="360" w:lineRule="auto"/>
        <w:ind w:firstLineChars="200"/>
      </w:pPr>
      <w:r>
        <w:rPr>
          <w:rFonts w:hint="eastAsia"/>
          <w:sz w:val="24"/>
          <w:szCs w:val="24"/>
        </w:rPr>
      </w:r>
      <w:r>
        <w:rPr>
          <w:rFonts w:hint="eastAsia"/>
          <w:sz w:val="24"/>
          <w:szCs w:val="24"/>
        </w:rPr>
        <w:t xml:space="preserve">漏斗车。车体的下部设有一个或多个漏斗形卸货口，用于卸货。漏斗车一般用于装运矿石、砂石、煤炭、粮食等块状、粒状和散碎货物。卸货方便，当打开漏斗口的挡板，货物通过漏斗口自行卸下。</w:t>
      </w:r>
    </w:p>
    <w:p>
      <w:pPr>
        <w:spacing w:beforeLines="50" w:afterLines="50" w:line="360" w:lineRule="auto"/>
        <w:ind w:firstLineChars="200"/>
      </w:pPr>
      <w:r>
        <w:rPr>
          <w:rFonts w:hint="eastAsia"/>
          <w:sz w:val="24"/>
          <w:szCs w:val="24"/>
        </w:rPr>
      </w:r>
      <w:r>
        <w:rPr>
          <w:rFonts w:hint="eastAsia"/>
          <w:sz w:val="24"/>
          <w:szCs w:val="24"/>
        </w:rPr>
        <w:t xml:space="preserve">保温车。外形结构类似棚车，车体设有隔热材料，车内有降温或加热设备，以调节车内温度，满足货物保鲜的需要。保温车主要用于易腐货物的运输。</w:t>
      </w:r>
    </w:p>
    <w:p>
      <w:pPr>
        <w:spacing w:beforeLines="50" w:afterLines="50" w:line="360" w:lineRule="auto"/>
        <w:ind w:firstLineChars="200"/>
      </w:pPr>
      <w:r>
        <w:rPr>
          <w:rFonts w:hint="eastAsia"/>
          <w:sz w:val="24"/>
          <w:szCs w:val="24"/>
        </w:rPr>
      </w:r>
      <w:r>
        <w:rPr>
          <w:rFonts w:hint="eastAsia"/>
          <w:sz w:val="24"/>
          <w:szCs w:val="24"/>
        </w:rPr>
        <w:t xml:space="preserve">罐车、漏斗车、保温车等属于专用货车。</w:t>
      </w:r>
    </w:p>
    <w:p>
      <w:pPr>
        <w:spacing w:beforeLines="50" w:afterLines="50" w:line="360" w:lineRule="auto"/>
        <w:ind w:firstLineChars="200"/>
      </w:pPr>
      <w:r>
        <w:rPr>
          <w:rFonts w:hint="eastAsia"/>
          <w:sz w:val="24"/>
          <w:szCs w:val="24"/>
        </w:rPr>
      </w:r>
      <w:r>
        <w:rPr>
          <w:rFonts w:hint="eastAsia"/>
          <w:sz w:val="24"/>
          <w:szCs w:val="24"/>
        </w:rPr>
        <w:t xml:space="preserve">长大货物车。是运输超限重型货物的特种货车，其结构多种多样，以适应各种大型货物的运输，主要有长大平车、凹底平车、落下孔车、钳夹车、双联平车等。长大货物车一般采用多轴转向架或多层底架结构，带有多导向液压侧移提升机构，以便适应铁路线路桥梁、通过铁路限界。</w:t>
      </w:r>
    </w:p>
    <w:p>
      <w:pPr>
        <w:spacing w:beforeLines="50" w:afterLines="50" w:line="360" w:lineRule="auto"/>
      </w:pPr>
      <w:r>
        <w:rPr>
          <w:rFonts w:hint="eastAsia"/>
          <w:b/>
          <w:sz w:val="44"/>
          <w:szCs w:val="44"/>
        </w:rPr>
      </w:r>
      <w:r>
        <w:rPr>
          <w:rFonts w:hint="eastAsia"/>
          <w:b/>
          <w:sz w:val="44"/>
          <w:szCs w:val="44"/>
        </w:rPr>
        <w:t xml:space="preserve">设计条件</w:t>
      </w:r>
    </w:p>
    <w:p>
      <w:pPr>
        <w:spacing w:beforeLines="50" w:afterLines="50" w:line="360" w:lineRule="auto"/>
        <w:ind w:firstLineChars="200"/>
      </w:pPr>
      <w:r>
        <w:rPr>
          <w:rFonts w:hint="eastAsia"/>
          <w:sz w:val="24"/>
          <w:szCs w:val="24"/>
        </w:rPr>
      </w:r>
      <w:r>
        <w:rPr>
          <w:rFonts w:hint="eastAsia"/>
          <w:sz w:val="24"/>
          <w:szCs w:val="24"/>
        </w:rPr>
        <w:t xml:space="preserve">在保证安全平稳的条件下，货车设计应尽可能地降低自重、提高载重和构造速度，尽量提高轨道允许的每延米重，尽可能利用铁路限界使容积增大，并保证合理的使用寿命。一直以来，货车设计在车体结构、转向架型式、制动系统和连接装置等都取得重大技术进展，特征表现在轴重增大、速度提升、材料改进方面，以达到提速、重载、轻量化的成效。</w:t>
      </w:r>
    </w:p>
    <w:p>
      <w:pPr>
        <w:spacing w:beforeLines="50" w:afterLines="50" w:line="360" w:lineRule="auto"/>
        <w:jc w:val="right"/>
      </w:pPr>
      <w:r>
        <w:rPr>
          <w:rFonts w:hint="eastAsia"/>
          <w:sz w:val="24"/>
          <w:szCs w:val="24"/>
        </w:rPr>
      </w:r>
      <w:r>
        <w:rPr>
          <w:rFonts w:hint="eastAsia"/>
          <w:sz w:val="24"/>
          <w:szCs w:val="24"/>
        </w:rPr>
        <w:t xml:space="preserve">（作者：田葆栓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