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铁路货物运输价格</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铁路运输企业所提供的各项货运服务消耗的补偿。是货物与位移（计量单位为吨公里）的销售价格。铁路货物运输费用由铁路运输企业使用货票和运费杂费收据核收。</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拼音:tieluhuowuyunshujiɑɡe</w:t>
      </w:r>
    </w:p>
    <w:p>
      <w:pPr>
        <w:spacing w:beforeLines="50" w:afterLines="50" w:line="360" w:lineRule="auto"/>
      </w:pPr>
      <w:r>
        <w:rPr>
          <w:rFonts w:hint="eastAsia"/>
          <w:sz w:val="24"/>
          <w:szCs w:val="24"/>
        </w:rPr>
      </w:r>
      <w:r>
        <w:rPr>
          <w:rFonts w:hint="eastAsia"/>
          <w:sz w:val="24"/>
          <w:szCs w:val="24"/>
        </w:rPr>
        <w:t xml:space="preserve">英文名称:railway transport freight tariff</w:t>
      </w:r>
    </w:p>
    <w:p>
      <w:pPr>
        <w:spacing w:beforeLines="50" w:afterLines="50" w:line="360" w:lineRule="auto"/>
      </w:pPr>
      <w:r>
        <w:rPr>
          <w:rFonts w:hint="eastAsia"/>
          <w:sz w:val="24"/>
          <w:szCs w:val="24"/>
        </w:rPr>
      </w:r>
      <w:r>
        <w:rPr>
          <w:rFonts w:hint="eastAsia"/>
          <w:sz w:val="24"/>
          <w:szCs w:val="24"/>
        </w:rPr>
        <w:t xml:space="preserve">适用范围:铁路经济</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发展概况</w:t>
      </w:r>
    </w:p>
    <w:p>
      <w:pPr>
        <w:spacing w:beforeLines="50" w:afterLines="50" w:line="360" w:lineRule="auto"/>
      </w:pPr>
      <w:r>
        <w:rPr>
          <w:rFonts w:hint="eastAsia"/>
          <w:sz w:val="24"/>
          <w:szCs w:val="24"/>
        </w:rPr>
      </w:r>
      <w:r>
        <w:rPr>
          <w:rFonts w:hint="eastAsia"/>
          <w:sz w:val="24"/>
          <w:szCs w:val="24"/>
        </w:rPr>
        <w:t xml:space="preserve">2 作用及影响</w:t>
      </w:r>
    </w:p>
    <w:p>
      <w:pPr>
        <w:spacing w:beforeLines="50" w:afterLines="50" w:line="360" w:lineRule="auto"/>
      </w:pPr>
      <w:r>
        <w:rPr>
          <w:rFonts w:hint="eastAsia"/>
          <w:b/>
          <w:sz w:val="44"/>
          <w:szCs w:val="44"/>
        </w:rPr>
      </w:r>
      <w:r>
        <w:rPr>
          <w:rFonts w:hint="eastAsia"/>
          <w:b/>
          <w:sz w:val="44"/>
          <w:szCs w:val="44"/>
        </w:rPr>
        <w:t xml:space="preserve">发展概况</w:t>
      </w:r>
    </w:p>
    <w:p>
      <w:pPr>
        <w:spacing w:beforeLines="50" w:afterLines="50" w:line="360" w:lineRule="auto"/>
        <w:ind w:firstLineChars="200"/>
      </w:pPr>
      <w:r>
        <w:rPr>
          <w:rFonts w:hint="eastAsia"/>
          <w:sz w:val="24"/>
          <w:szCs w:val="24"/>
        </w:rPr>
      </w:r>
      <w:r>
        <w:rPr>
          <w:rFonts w:hint="eastAsia"/>
          <w:sz w:val="24"/>
          <w:szCs w:val="24"/>
        </w:rPr>
        <w:t xml:space="preserve">中国铁路货物运输价格采用的是分号运价制度。依据铁道部于2005年发布的《铁路货物运价规则》中的方法和价率标准，加以计算和核收。</w:t>
      </w:r>
    </w:p>
    <w:p>
      <w:pPr>
        <w:spacing w:beforeLines="50" w:afterLines="50" w:line="360" w:lineRule="auto"/>
        <w:ind w:firstLineChars="200"/>
      </w:pPr>
      <w:r>
        <w:rPr>
          <w:rFonts w:hint="eastAsia"/>
          <w:sz w:val="24"/>
          <w:szCs w:val="24"/>
        </w:rPr>
      </w:r>
      <w:r>
        <w:rPr>
          <w:rFonts w:hint="eastAsia"/>
          <w:sz w:val="24"/>
          <w:szCs w:val="24"/>
        </w:rPr>
        <w:t xml:space="preserve">2012年以来，为发挥市场机制在资源配置中的决定性作用，促进铁路运输企业适应市场供求形势变化，深化供给侧改革，中国政府决定优化传统上主要依据运输成本定价的方法，建立运价浮动机制。由实行政府定价改为政府指导价，允许铁路运输企业以国家规定运价为基础，在上浮不超过一定比例、下浮不限的范围内自主确定具体运价水平。2014年4月，神华集团新建的准池铁路货物运价明确实行市场调节，开创了市场决定铁路货运价格的先河，标志着中国铁路货运价格市场化改革迈出了具有里程碑意义的重要一步。随后，又陆续放开了散货快运、包裹运输价格以及社会资本控股新建铁路货物运价等竞争性铁路货运价格。</w:t>
      </w:r>
    </w:p>
    <w:p>
      <w:pPr>
        <w:spacing w:beforeLines="50" w:afterLines="50" w:line="360" w:lineRule="auto"/>
      </w:pPr>
      <w:r>
        <w:rPr>
          <w:rFonts w:hint="eastAsia"/>
          <w:b/>
          <w:sz w:val="44"/>
          <w:szCs w:val="44"/>
        </w:rPr>
      </w:r>
      <w:r>
        <w:rPr>
          <w:rFonts w:hint="eastAsia"/>
          <w:b/>
          <w:sz w:val="44"/>
          <w:szCs w:val="44"/>
        </w:rPr>
        <w:t xml:space="preserve">作用及影响</w:t>
      </w:r>
    </w:p>
    <w:p>
      <w:pPr>
        <w:spacing w:beforeLines="50" w:afterLines="50" w:line="360" w:lineRule="auto"/>
        <w:ind w:firstLineChars="200"/>
      </w:pPr>
      <w:r>
        <w:rPr>
          <w:rFonts w:hint="eastAsia"/>
          <w:sz w:val="24"/>
          <w:szCs w:val="24"/>
        </w:rPr>
      </w:r>
      <w:r>
        <w:rPr>
          <w:rFonts w:hint="eastAsia"/>
          <w:sz w:val="24"/>
          <w:szCs w:val="24"/>
        </w:rPr>
        <w:t xml:space="preserve">铁路货物运价能够调节运输业与国民经济其他行业间的收入分配。运价是社会综合价格体系的重要组成部分，运价的变化会引起运输需求的相应变化，从而决定社会收入从运输消费者手中转向运输供给者手中的比例。</w:t>
      </w:r>
    </w:p>
    <w:p>
      <w:pPr>
        <w:spacing w:beforeLines="50" w:afterLines="50" w:line="360" w:lineRule="auto"/>
        <w:ind w:firstLineChars="200"/>
      </w:pPr>
      <w:r>
        <w:rPr>
          <w:rFonts w:hint="eastAsia"/>
          <w:sz w:val="24"/>
          <w:szCs w:val="24"/>
        </w:rPr>
      </w:r>
      <w:r>
        <w:rPr>
          <w:rFonts w:hint="eastAsia"/>
          <w:sz w:val="24"/>
          <w:szCs w:val="24"/>
        </w:rPr>
        <w:t xml:space="preserve">货物运输过程是社会产品再生产过程的继续和延伸，因此货物运价对国民经济和人民生活具有直接的影响。合理的货物运价可以促进商品流通，有助于形成合理的商品价格，对于国民经济生产力布局和相应的社会资源分配具有重要的意义。</w:t>
      </w:r>
    </w:p>
    <w:p>
      <w:pPr>
        <w:spacing w:beforeLines="50" w:afterLines="50" w:line="360" w:lineRule="auto"/>
        <w:jc w:val="right"/>
      </w:pPr>
      <w:r>
        <w:rPr>
          <w:rFonts w:hint="eastAsia"/>
          <w:sz w:val="24"/>
          <w:szCs w:val="24"/>
        </w:rPr>
      </w:r>
      <w:r>
        <w:rPr>
          <w:rFonts w:hint="eastAsia"/>
          <w:sz w:val="24"/>
          <w:szCs w:val="24"/>
        </w:rPr>
        <w:t xml:space="preserve">（作者：肖玲玲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齐凤.铁路运输经济法规.北京:北京交通大学出版社,2014.</w:t>
      </w:r>
    </w:p>
    <w:p>
      <w:pPr>
        <w:spacing w:beforeLines="50" w:afterLines="50" w:line="360" w:lineRule="auto"/>
      </w:pPr>
      <w:r>
        <w:rPr>
          <w:rFonts w:hint="eastAsia"/>
          <w:sz w:val="24"/>
          <w:szCs w:val="24"/>
        </w:rPr>
      </w:r>
      <w:r>
        <w:rPr>
          <w:rFonts w:hint="eastAsia"/>
          <w:sz w:val="24"/>
          <w:szCs w:val="24"/>
        </w:rPr>
        <w:t xml:space="preserve">欧国立.轨道交通经济学.北京:中国铁道出版社,2014.</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