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eastAsia="仿宋_GB2312"/>
          <w:kern w:val="0"/>
          <w:sz w:val="28"/>
          <w:szCs w:val="28"/>
        </w:rPr>
      </w:pPr>
      <w:r>
        <w:rPr>
          <w:rFonts w:hint="eastAsia" w:eastAsia="仿宋_GB2312"/>
          <w:kern w:val="0"/>
          <w:sz w:val="28"/>
          <w:szCs w:val="28"/>
        </w:rPr>
        <w:t>附件：</w:t>
      </w:r>
    </w:p>
    <w:p>
      <w:pPr>
        <w:pStyle w:val="22"/>
        <w:numPr>
          <w:ilvl w:val="0"/>
          <w:numId w:val="1"/>
        </w:numPr>
        <w:spacing w:line="360" w:lineRule="auto"/>
        <w:ind w:firstLineChars="0"/>
        <w:rPr>
          <w:sz w:val="24"/>
        </w:rPr>
      </w:pPr>
      <w:r>
        <w:rPr>
          <w:rFonts w:ascii="宋体" w:hAnsi="宋体"/>
          <w:b/>
          <w:sz w:val="28"/>
          <w:szCs w:val="28"/>
        </w:rPr>
        <w:t>项目名称：</w:t>
      </w:r>
      <w:r>
        <w:rPr>
          <w:rFonts w:hint="eastAsia" w:ascii="宋体" w:hAnsi="宋体"/>
          <w:sz w:val="24"/>
        </w:rPr>
        <w:t>高氨氮废水自养脱氮降碳关键技术与产业化应用</w:t>
      </w:r>
      <w:r>
        <w:rPr>
          <w:rFonts w:hint="eastAsia" w:ascii="宋体" w:hAnsi="宋体"/>
          <w:sz w:val="24"/>
          <w:lang w:val="en-US" w:eastAsia="zh-CN"/>
        </w:rPr>
        <w:t>(一等奖）</w:t>
      </w:r>
    </w:p>
    <w:p>
      <w:pPr>
        <w:pStyle w:val="22"/>
        <w:numPr>
          <w:ilvl w:val="0"/>
          <w:numId w:val="1"/>
        </w:numPr>
        <w:spacing w:line="360" w:lineRule="auto"/>
        <w:ind w:firstLineChars="0"/>
        <w:rPr>
          <w:rFonts w:ascii="宋体" w:hAnsi="宋体"/>
          <w:b/>
          <w:sz w:val="28"/>
          <w:szCs w:val="28"/>
        </w:rPr>
      </w:pPr>
      <w:r>
        <w:rPr>
          <w:rFonts w:hint="eastAsia" w:ascii="宋体" w:hAnsi="宋体"/>
          <w:b/>
          <w:sz w:val="28"/>
          <w:szCs w:val="28"/>
        </w:rPr>
        <w:t>主要完成单位及其排序</w:t>
      </w:r>
    </w:p>
    <w:p>
      <w:pPr>
        <w:pStyle w:val="5"/>
        <w:spacing w:line="440" w:lineRule="exact"/>
        <w:rPr>
          <w:rFonts w:ascii="宋体" w:hAnsi="宋体" w:cstheme="minorEastAsia"/>
          <w:color w:val="000000" w:themeColor="text1"/>
          <w:sz w:val="24"/>
          <w:szCs w:val="32"/>
          <w14:textFill>
            <w14:solidFill>
              <w14:schemeClr w14:val="tx1"/>
            </w14:solidFill>
          </w14:textFill>
        </w:rPr>
      </w:pPr>
      <w:r>
        <w:rPr>
          <w:rFonts w:hint="eastAsia" w:ascii="宋体" w:hAnsi="宋体" w:cstheme="minorEastAsia"/>
          <w:color w:val="000000" w:themeColor="text1"/>
          <w:sz w:val="24"/>
          <w:szCs w:val="32"/>
          <w14:textFill>
            <w14:solidFill>
              <w14:schemeClr w14:val="tx1"/>
            </w14:solidFill>
          </w14:textFill>
        </w:rPr>
        <w:t>北京交通大学、北京坦思环保科技有限公司、中国国检测试控股集团股份有限公司</w:t>
      </w:r>
    </w:p>
    <w:p>
      <w:pPr>
        <w:pStyle w:val="22"/>
        <w:numPr>
          <w:ilvl w:val="0"/>
          <w:numId w:val="1"/>
        </w:numPr>
        <w:spacing w:line="360" w:lineRule="auto"/>
        <w:ind w:firstLineChars="0"/>
        <w:rPr>
          <w:rFonts w:ascii="宋体" w:hAnsi="宋体"/>
          <w:sz w:val="24"/>
        </w:rPr>
      </w:pPr>
      <w:r>
        <w:rPr>
          <w:rFonts w:hint="eastAsia" w:ascii="宋体" w:hAnsi="宋体"/>
          <w:b/>
          <w:sz w:val="28"/>
          <w:szCs w:val="28"/>
        </w:rPr>
        <w:t>主要完成人及其排序</w:t>
      </w:r>
    </w:p>
    <w:p>
      <w:pPr>
        <w:pStyle w:val="22"/>
        <w:spacing w:line="360" w:lineRule="auto"/>
        <w:ind w:firstLine="0" w:firstLineChars="0"/>
        <w:rPr>
          <w:rFonts w:ascii="宋体" w:hAnsi="宋体"/>
          <w:b/>
          <w:sz w:val="28"/>
          <w:szCs w:val="28"/>
        </w:rPr>
      </w:pPr>
      <w:r>
        <w:rPr>
          <w:rFonts w:hint="eastAsia" w:ascii="宋体" w:hAnsi="宋体" w:cstheme="minorEastAsia"/>
          <w:color w:val="000000" w:themeColor="text1"/>
          <w:sz w:val="24"/>
          <w:szCs w:val="32"/>
          <w14:textFill>
            <w14:solidFill>
              <w14:schemeClr w14:val="tx1"/>
            </w14:solidFill>
          </w14:textFill>
        </w:rPr>
        <w:t>1、姚宏；2、马金元；3、田盛；4、杨岸明；5、孙绍斌；6、吴</w:t>
      </w:r>
      <w:bookmarkStart w:id="0" w:name="_GoBack"/>
      <w:bookmarkEnd w:id="0"/>
      <w:r>
        <w:rPr>
          <w:rFonts w:hint="eastAsia" w:ascii="宋体" w:hAnsi="宋体" w:cstheme="minorEastAsia"/>
          <w:color w:val="000000" w:themeColor="text1"/>
          <w:sz w:val="24"/>
          <w:szCs w:val="32"/>
          <w14:textFill>
            <w14:solidFill>
              <w14:schemeClr w14:val="tx1"/>
            </w14:solidFill>
          </w14:textFill>
        </w:rPr>
        <w:t>辉廷</w:t>
      </w:r>
    </w:p>
    <w:p>
      <w:pPr>
        <w:pStyle w:val="22"/>
        <w:numPr>
          <w:ilvl w:val="0"/>
          <w:numId w:val="1"/>
        </w:numPr>
        <w:spacing w:line="360" w:lineRule="auto"/>
        <w:ind w:firstLineChars="0"/>
        <w:rPr>
          <w:rFonts w:ascii="宋体" w:hAnsi="宋体"/>
          <w:b/>
          <w:sz w:val="28"/>
          <w:szCs w:val="28"/>
        </w:rPr>
      </w:pPr>
      <w:r>
        <w:rPr>
          <w:rFonts w:hint="eastAsia" w:ascii="宋体" w:hAnsi="宋体"/>
          <w:b/>
          <w:sz w:val="28"/>
          <w:szCs w:val="28"/>
        </w:rPr>
        <w:t>知识产权</w:t>
      </w:r>
    </w:p>
    <w:tbl>
      <w:tblPr>
        <w:tblStyle w:val="10"/>
        <w:tblW w:w="4855" w:type="pct"/>
        <w:jc w:val="center"/>
        <w:tblLayout w:type="fixed"/>
        <w:tblCellMar>
          <w:top w:w="0" w:type="dxa"/>
          <w:left w:w="108" w:type="dxa"/>
          <w:bottom w:w="0" w:type="dxa"/>
          <w:right w:w="108" w:type="dxa"/>
        </w:tblCellMar>
      </w:tblPr>
      <w:tblGrid>
        <w:gridCol w:w="478"/>
        <w:gridCol w:w="709"/>
        <w:gridCol w:w="2500"/>
        <w:gridCol w:w="1118"/>
        <w:gridCol w:w="1292"/>
        <w:gridCol w:w="1469"/>
        <w:gridCol w:w="709"/>
      </w:tblGrid>
      <w:tr>
        <w:trPr>
          <w:trHeight w:val="680" w:hRule="atLeast"/>
          <w:jc w:val="center"/>
        </w:trPr>
        <w:tc>
          <w:tcPr>
            <w:tcW w:w="478" w:type="dxa"/>
            <w:tcBorders>
              <w:top w:val="single" w:color="auto" w:sz="8" w:space="0"/>
              <w:left w:val="single" w:color="auto" w:sz="8" w:space="0"/>
              <w:bottom w:val="single" w:color="auto" w:sz="4" w:space="0"/>
              <w:right w:val="single" w:color="auto" w:sz="4" w:space="0"/>
            </w:tcBorders>
            <w:vAlign w:val="center"/>
          </w:tcPr>
          <w:p>
            <w:pPr>
              <w:widowControl/>
              <w:spacing w:line="390" w:lineRule="exact"/>
              <w:jc w:val="center"/>
              <w:rPr>
                <w:rFonts w:ascii="宋体" w:hAnsi="宋体"/>
                <w:color w:val="000000"/>
                <w:kern w:val="0"/>
                <w:szCs w:val="21"/>
              </w:rPr>
            </w:pPr>
            <w:r>
              <w:rPr>
                <w:rFonts w:hint="eastAsia" w:ascii="宋体" w:hAnsi="宋体"/>
                <w:color w:val="000000"/>
                <w:kern w:val="0"/>
                <w:szCs w:val="21"/>
              </w:rPr>
              <w:t>序号</w:t>
            </w:r>
          </w:p>
        </w:tc>
        <w:tc>
          <w:tcPr>
            <w:tcW w:w="709" w:type="dxa"/>
            <w:tcBorders>
              <w:top w:val="single" w:color="auto" w:sz="8" w:space="0"/>
              <w:left w:val="single" w:color="auto" w:sz="8" w:space="0"/>
              <w:bottom w:val="single" w:color="auto" w:sz="4" w:space="0"/>
              <w:right w:val="single" w:color="auto" w:sz="4" w:space="0"/>
            </w:tcBorders>
            <w:vAlign w:val="center"/>
          </w:tcPr>
          <w:p>
            <w:pPr>
              <w:widowControl/>
              <w:spacing w:line="390" w:lineRule="exact"/>
              <w:jc w:val="center"/>
              <w:rPr>
                <w:rFonts w:ascii="宋体" w:hAnsi="宋体"/>
                <w:color w:val="000000"/>
                <w:kern w:val="0"/>
                <w:szCs w:val="21"/>
              </w:rPr>
            </w:pPr>
            <w:r>
              <w:rPr>
                <w:rFonts w:hint="eastAsia" w:ascii="宋体" w:hAnsi="宋体"/>
                <w:color w:val="000000"/>
                <w:kern w:val="0"/>
                <w:szCs w:val="21"/>
              </w:rPr>
              <w:t>知识产权</w:t>
            </w:r>
          </w:p>
        </w:tc>
        <w:tc>
          <w:tcPr>
            <w:tcW w:w="2500" w:type="dxa"/>
            <w:tcBorders>
              <w:top w:val="single" w:color="auto" w:sz="8" w:space="0"/>
              <w:left w:val="nil"/>
              <w:bottom w:val="single" w:color="auto" w:sz="4" w:space="0"/>
              <w:right w:val="single" w:color="auto" w:sz="4" w:space="0"/>
            </w:tcBorders>
            <w:vAlign w:val="center"/>
          </w:tcPr>
          <w:p>
            <w:pPr>
              <w:widowControl/>
              <w:spacing w:line="390" w:lineRule="exact"/>
              <w:jc w:val="center"/>
              <w:rPr>
                <w:rFonts w:ascii="宋体" w:hAnsi="宋体"/>
                <w:color w:val="000000"/>
                <w:kern w:val="0"/>
                <w:szCs w:val="21"/>
              </w:rPr>
            </w:pPr>
            <w:r>
              <w:rPr>
                <w:rFonts w:hint="eastAsia" w:ascii="宋体" w:hAnsi="宋体"/>
                <w:color w:val="000000"/>
                <w:kern w:val="0"/>
                <w:szCs w:val="21"/>
              </w:rPr>
              <w:t>具体名称</w:t>
            </w:r>
          </w:p>
        </w:tc>
        <w:tc>
          <w:tcPr>
            <w:tcW w:w="1118" w:type="dxa"/>
            <w:tcBorders>
              <w:top w:val="single" w:color="auto" w:sz="8"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专利号</w:t>
            </w:r>
          </w:p>
        </w:tc>
        <w:tc>
          <w:tcPr>
            <w:tcW w:w="1292" w:type="dxa"/>
            <w:tcBorders>
              <w:top w:val="single" w:color="auto" w:sz="8" w:space="0"/>
              <w:left w:val="single" w:color="auto" w:sz="4" w:space="0"/>
              <w:bottom w:val="single" w:color="auto" w:sz="4" w:space="0"/>
              <w:right w:val="single" w:color="auto" w:sz="4" w:space="0"/>
            </w:tcBorders>
            <w:vAlign w:val="center"/>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专利权利人</w:t>
            </w:r>
          </w:p>
        </w:tc>
        <w:tc>
          <w:tcPr>
            <w:tcW w:w="1469" w:type="dxa"/>
            <w:tcBorders>
              <w:top w:val="single" w:color="auto" w:sz="8" w:space="0"/>
              <w:left w:val="nil"/>
              <w:bottom w:val="single" w:color="auto" w:sz="4" w:space="0"/>
              <w:right w:val="single" w:color="auto" w:sz="4" w:space="0"/>
            </w:tcBorders>
            <w:vAlign w:val="center"/>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专利发明人</w:t>
            </w:r>
          </w:p>
        </w:tc>
        <w:tc>
          <w:tcPr>
            <w:tcW w:w="709" w:type="dxa"/>
            <w:tcBorders>
              <w:top w:val="single" w:color="auto" w:sz="8" w:space="0"/>
              <w:left w:val="nil"/>
              <w:bottom w:val="single" w:color="auto" w:sz="4" w:space="0"/>
              <w:right w:val="single" w:color="auto" w:sz="8" w:space="0"/>
            </w:tcBorders>
            <w:vAlign w:val="center"/>
          </w:tcPr>
          <w:p>
            <w:pPr>
              <w:widowControl/>
              <w:spacing w:line="390" w:lineRule="exact"/>
              <w:jc w:val="center"/>
              <w:rPr>
                <w:rFonts w:ascii="宋体" w:hAnsi="宋体"/>
                <w:color w:val="000000"/>
                <w:kern w:val="0"/>
                <w:szCs w:val="21"/>
              </w:rPr>
            </w:pPr>
            <w:r>
              <w:rPr>
                <w:rFonts w:hint="eastAsia" w:ascii="宋体" w:hAnsi="宋体"/>
                <w:color w:val="000000"/>
                <w:kern w:val="0"/>
                <w:szCs w:val="21"/>
              </w:rPr>
              <w:t>有效</w:t>
            </w:r>
          </w:p>
          <w:p>
            <w:pPr>
              <w:widowControl/>
              <w:spacing w:line="390" w:lineRule="exact"/>
              <w:jc w:val="center"/>
              <w:rPr>
                <w:rFonts w:ascii="宋体" w:hAnsi="宋体"/>
                <w:color w:val="000000"/>
                <w:kern w:val="0"/>
                <w:szCs w:val="21"/>
              </w:rPr>
            </w:pPr>
            <w:r>
              <w:rPr>
                <w:rFonts w:hint="eastAsia" w:ascii="宋体" w:hAnsi="宋体"/>
                <w:color w:val="000000"/>
                <w:kern w:val="0"/>
                <w:szCs w:val="21"/>
              </w:rPr>
              <w:t>状态</w:t>
            </w:r>
          </w:p>
        </w:tc>
      </w:tr>
      <w:tr>
        <w:tblPrEx>
          <w:tblCellMar>
            <w:top w:w="0" w:type="dxa"/>
            <w:left w:w="108" w:type="dxa"/>
            <w:bottom w:w="0" w:type="dxa"/>
            <w:right w:w="108" w:type="dxa"/>
          </w:tblCellMar>
        </w:tblPrEx>
        <w:trPr>
          <w:trHeight w:val="798" w:hRule="atLeast"/>
          <w:jc w:val="center"/>
        </w:trPr>
        <w:tc>
          <w:tcPr>
            <w:tcW w:w="478"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1</w:t>
            </w:r>
          </w:p>
        </w:tc>
        <w:tc>
          <w:tcPr>
            <w:tcW w:w="709"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w:t>
            </w:r>
          </w:p>
        </w:tc>
        <w:tc>
          <w:tcPr>
            <w:tcW w:w="2500"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厌氧氨氧化菌种的保藏方法</w:t>
            </w:r>
          </w:p>
        </w:tc>
        <w:tc>
          <w:tcPr>
            <w:tcW w:w="1118"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ZL201610914868.1</w:t>
            </w:r>
          </w:p>
        </w:tc>
        <w:tc>
          <w:tcPr>
            <w:tcW w:w="1292" w:type="dxa"/>
            <w:tcBorders>
              <w:top w:val="single" w:color="auto" w:sz="4" w:space="0"/>
              <w:left w:val="single" w:color="auto" w:sz="4" w:space="0"/>
              <w:bottom w:val="single" w:color="auto" w:sz="4" w:space="0"/>
              <w:right w:val="single" w:color="auto" w:sz="4" w:space="0"/>
            </w:tcBorders>
          </w:tcPr>
          <w:p>
            <w:pPr>
              <w:widowControl/>
              <w:spacing w:line="390" w:lineRule="exact"/>
              <w:jc w:val="center"/>
              <w:rPr>
                <w:rFonts w:hint="eastAsia" w:ascii="宋体" w:hAnsi="宋体"/>
                <w:color w:val="000000"/>
                <w:kern w:val="0"/>
                <w:szCs w:val="21"/>
              </w:rPr>
            </w:pPr>
            <w:r>
              <w:rPr>
                <w:rFonts w:hint="eastAsia" w:ascii="宋体" w:hAnsi="宋体"/>
                <w:color w:val="000000"/>
                <w:kern w:val="0"/>
                <w:szCs w:val="21"/>
              </w:rPr>
              <w:t>北京</w:t>
            </w:r>
          </w:p>
          <w:p>
            <w:pPr>
              <w:widowControl/>
              <w:spacing w:line="390" w:lineRule="exact"/>
              <w:jc w:val="center"/>
              <w:rPr>
                <w:rFonts w:ascii="宋体" w:hAnsi="宋体"/>
                <w:color w:val="000000"/>
                <w:kern w:val="0"/>
                <w:szCs w:val="21"/>
              </w:rPr>
            </w:pPr>
            <w:r>
              <w:rPr>
                <w:rFonts w:hint="eastAsia" w:ascii="宋体" w:hAnsi="宋体"/>
                <w:color w:val="000000"/>
                <w:kern w:val="0"/>
                <w:szCs w:val="21"/>
              </w:rPr>
              <w:t>交通大学</w:t>
            </w:r>
          </w:p>
        </w:tc>
        <w:tc>
          <w:tcPr>
            <w:tcW w:w="1469" w:type="dxa"/>
            <w:tcBorders>
              <w:top w:val="single" w:color="auto" w:sz="4" w:space="0"/>
              <w:left w:val="nil"/>
              <w:bottom w:val="single" w:color="auto" w:sz="4" w:space="0"/>
              <w:right w:val="single" w:color="auto" w:sz="4" w:space="0"/>
            </w:tcBorders>
          </w:tcPr>
          <w:p>
            <w:pPr>
              <w:widowControl/>
              <w:spacing w:line="390" w:lineRule="exact"/>
              <w:jc w:val="center"/>
              <w:rPr>
                <w:rFonts w:hint="eastAsia" w:ascii="宋体" w:hAnsi="宋体"/>
                <w:color w:val="000000"/>
                <w:kern w:val="0"/>
                <w:szCs w:val="21"/>
              </w:rPr>
            </w:pPr>
            <w:r>
              <w:rPr>
                <w:rFonts w:hint="eastAsia" w:ascii="宋体" w:hAnsi="宋体"/>
                <w:color w:val="000000"/>
                <w:kern w:val="0"/>
                <w:szCs w:val="21"/>
              </w:rPr>
              <w:t xml:space="preserve">姚宏 </w:t>
            </w:r>
          </w:p>
          <w:p>
            <w:pPr>
              <w:widowControl/>
              <w:spacing w:line="390" w:lineRule="exact"/>
              <w:jc w:val="center"/>
              <w:rPr>
                <w:rFonts w:ascii="宋体" w:hAnsi="宋体"/>
                <w:color w:val="000000"/>
                <w:kern w:val="0"/>
                <w:szCs w:val="21"/>
              </w:rPr>
            </w:pPr>
            <w:r>
              <w:rPr>
                <w:rFonts w:hint="eastAsia" w:ascii="宋体" w:hAnsi="宋体"/>
                <w:color w:val="000000"/>
                <w:kern w:val="0"/>
                <w:szCs w:val="21"/>
              </w:rPr>
              <w:t xml:space="preserve">马金元 </w:t>
            </w:r>
          </w:p>
          <w:p>
            <w:pPr>
              <w:widowControl/>
              <w:spacing w:line="390" w:lineRule="exact"/>
              <w:jc w:val="center"/>
              <w:rPr>
                <w:rFonts w:ascii="宋体" w:hAnsi="宋体"/>
                <w:color w:val="000000"/>
                <w:kern w:val="0"/>
                <w:szCs w:val="21"/>
              </w:rPr>
            </w:pPr>
            <w:r>
              <w:rPr>
                <w:rFonts w:hint="eastAsia" w:ascii="宋体" w:hAnsi="宋体"/>
                <w:color w:val="000000"/>
                <w:kern w:val="0"/>
                <w:szCs w:val="21"/>
              </w:rPr>
              <w:t>杨正文</w:t>
            </w:r>
          </w:p>
        </w:tc>
        <w:tc>
          <w:tcPr>
            <w:tcW w:w="709" w:type="dxa"/>
            <w:tcBorders>
              <w:top w:val="single" w:color="auto" w:sz="4" w:space="0"/>
              <w:left w:val="nil"/>
              <w:bottom w:val="single" w:color="auto" w:sz="4" w:space="0"/>
              <w:right w:val="single" w:color="auto" w:sz="8"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有效</w:t>
            </w:r>
          </w:p>
        </w:tc>
      </w:tr>
      <w:tr>
        <w:tblPrEx>
          <w:tblCellMar>
            <w:top w:w="0" w:type="dxa"/>
            <w:left w:w="108" w:type="dxa"/>
            <w:bottom w:w="0" w:type="dxa"/>
            <w:right w:w="108" w:type="dxa"/>
          </w:tblCellMar>
        </w:tblPrEx>
        <w:trPr>
          <w:trHeight w:val="845" w:hRule="atLeast"/>
          <w:jc w:val="center"/>
        </w:trPr>
        <w:tc>
          <w:tcPr>
            <w:tcW w:w="478"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2</w:t>
            </w:r>
          </w:p>
        </w:tc>
        <w:tc>
          <w:tcPr>
            <w:tcW w:w="709"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w:t>
            </w:r>
          </w:p>
        </w:tc>
        <w:tc>
          <w:tcPr>
            <w:tcW w:w="2500" w:type="dxa"/>
            <w:tcBorders>
              <w:top w:val="single" w:color="auto" w:sz="4" w:space="0"/>
              <w:left w:val="nil"/>
              <w:bottom w:val="single" w:color="auto" w:sz="4" w:space="0"/>
              <w:right w:val="single" w:color="auto" w:sz="4" w:space="0"/>
            </w:tcBorders>
          </w:tcPr>
          <w:p>
            <w:pPr>
              <w:widowControl/>
              <w:jc w:val="center"/>
              <w:rPr>
                <w:rFonts w:ascii="宋体" w:hAnsi="宋体"/>
                <w:color w:val="000000"/>
                <w:kern w:val="0"/>
                <w:szCs w:val="21"/>
              </w:rPr>
            </w:pPr>
            <w:r>
              <w:rPr>
                <w:rFonts w:hint="eastAsia" w:ascii="宋体" w:hAnsi="宋体"/>
                <w:color w:val="000000"/>
                <w:kern w:val="0"/>
                <w:szCs w:val="21"/>
              </w:rPr>
              <w:t>高氨氮高有机物玉米深加工废水的处理装置</w:t>
            </w:r>
          </w:p>
        </w:tc>
        <w:tc>
          <w:tcPr>
            <w:tcW w:w="1118"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ZL2016110408529</w:t>
            </w:r>
          </w:p>
        </w:tc>
        <w:tc>
          <w:tcPr>
            <w:tcW w:w="1292" w:type="dxa"/>
            <w:tcBorders>
              <w:top w:val="single" w:color="auto" w:sz="4" w:space="0"/>
              <w:left w:val="single" w:color="auto" w:sz="4"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北京</w:t>
            </w:r>
          </w:p>
          <w:p>
            <w:pPr>
              <w:widowControl/>
              <w:spacing w:line="390" w:lineRule="exact"/>
              <w:jc w:val="center"/>
              <w:rPr>
                <w:rFonts w:ascii="宋体" w:hAnsi="宋体"/>
                <w:color w:val="000000"/>
                <w:kern w:val="0"/>
                <w:szCs w:val="21"/>
              </w:rPr>
            </w:pPr>
            <w:r>
              <w:rPr>
                <w:rFonts w:hint="eastAsia" w:ascii="宋体" w:hAnsi="宋体"/>
                <w:color w:val="000000"/>
                <w:kern w:val="0"/>
                <w:szCs w:val="21"/>
              </w:rPr>
              <w:t>交通大学</w:t>
            </w:r>
          </w:p>
        </w:tc>
        <w:tc>
          <w:tcPr>
            <w:tcW w:w="1469" w:type="dxa"/>
            <w:tcBorders>
              <w:top w:val="single" w:color="auto" w:sz="4" w:space="0"/>
              <w:left w:val="nil"/>
              <w:bottom w:val="single" w:color="auto" w:sz="4" w:space="0"/>
              <w:right w:val="single" w:color="auto" w:sz="4" w:space="0"/>
            </w:tcBorders>
          </w:tcPr>
          <w:p>
            <w:pPr>
              <w:widowControl/>
              <w:jc w:val="center"/>
              <w:rPr>
                <w:rFonts w:hint="eastAsia" w:ascii="宋体" w:hAnsi="宋体"/>
                <w:color w:val="000000"/>
                <w:kern w:val="0"/>
                <w:szCs w:val="21"/>
              </w:rPr>
            </w:pPr>
            <w:r>
              <w:rPr>
                <w:rFonts w:hint="eastAsia" w:ascii="宋体" w:hAnsi="宋体"/>
                <w:color w:val="000000"/>
                <w:kern w:val="0"/>
                <w:szCs w:val="21"/>
              </w:rPr>
              <w:t xml:space="preserve">姚宏 </w:t>
            </w:r>
          </w:p>
          <w:p>
            <w:pPr>
              <w:widowControl/>
              <w:jc w:val="center"/>
              <w:rPr>
                <w:rFonts w:ascii="宋体" w:hAnsi="宋体"/>
                <w:color w:val="000000"/>
                <w:kern w:val="0"/>
                <w:szCs w:val="21"/>
              </w:rPr>
            </w:pPr>
            <w:r>
              <w:rPr>
                <w:rFonts w:hint="eastAsia" w:ascii="宋体" w:hAnsi="宋体"/>
                <w:color w:val="000000"/>
                <w:kern w:val="0"/>
                <w:szCs w:val="21"/>
              </w:rPr>
              <w:t xml:space="preserve">左陆坤 </w:t>
            </w:r>
          </w:p>
          <w:p>
            <w:pPr>
              <w:widowControl/>
              <w:jc w:val="center"/>
              <w:rPr>
                <w:rFonts w:ascii="宋体" w:hAnsi="宋体"/>
                <w:color w:val="000000"/>
                <w:kern w:val="0"/>
                <w:szCs w:val="21"/>
              </w:rPr>
            </w:pPr>
            <w:r>
              <w:rPr>
                <w:rFonts w:hint="eastAsia" w:ascii="宋体" w:hAnsi="宋体"/>
                <w:color w:val="000000"/>
                <w:kern w:val="0"/>
                <w:szCs w:val="21"/>
              </w:rPr>
              <w:t>杨黎俊</w:t>
            </w:r>
          </w:p>
        </w:tc>
        <w:tc>
          <w:tcPr>
            <w:tcW w:w="709" w:type="dxa"/>
            <w:tcBorders>
              <w:top w:val="single" w:color="auto" w:sz="4" w:space="0"/>
              <w:left w:val="nil"/>
              <w:bottom w:val="single" w:color="auto" w:sz="4" w:space="0"/>
              <w:right w:val="single" w:color="auto" w:sz="8"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有效</w:t>
            </w:r>
          </w:p>
        </w:tc>
      </w:tr>
      <w:tr>
        <w:trPr>
          <w:trHeight w:val="798" w:hRule="atLeast"/>
          <w:jc w:val="center"/>
        </w:trPr>
        <w:tc>
          <w:tcPr>
            <w:tcW w:w="478"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3</w:t>
            </w:r>
          </w:p>
        </w:tc>
        <w:tc>
          <w:tcPr>
            <w:tcW w:w="709"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w:t>
            </w:r>
          </w:p>
        </w:tc>
        <w:tc>
          <w:tcPr>
            <w:tcW w:w="2500"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一种高盐分高氨氮制药污水的处理工艺及处理装置</w:t>
            </w:r>
          </w:p>
        </w:tc>
        <w:tc>
          <w:tcPr>
            <w:tcW w:w="1118"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ZL201210295894.2</w:t>
            </w:r>
          </w:p>
        </w:tc>
        <w:tc>
          <w:tcPr>
            <w:tcW w:w="1292" w:type="dxa"/>
            <w:tcBorders>
              <w:top w:val="single" w:color="auto" w:sz="4" w:space="0"/>
              <w:left w:val="single" w:color="auto" w:sz="4" w:space="0"/>
              <w:bottom w:val="single" w:color="auto" w:sz="4" w:space="0"/>
              <w:right w:val="single" w:color="auto" w:sz="4" w:space="0"/>
            </w:tcBorders>
          </w:tcPr>
          <w:p>
            <w:pPr>
              <w:widowControl/>
              <w:spacing w:line="390" w:lineRule="exact"/>
              <w:jc w:val="center"/>
              <w:rPr>
                <w:rFonts w:hint="eastAsia" w:ascii="宋体" w:hAnsi="宋体"/>
                <w:color w:val="000000"/>
                <w:kern w:val="0"/>
                <w:szCs w:val="21"/>
              </w:rPr>
            </w:pPr>
            <w:r>
              <w:rPr>
                <w:rFonts w:hint="eastAsia" w:ascii="宋体" w:hAnsi="宋体"/>
                <w:color w:val="000000"/>
                <w:kern w:val="0"/>
                <w:szCs w:val="21"/>
              </w:rPr>
              <w:t>北京</w:t>
            </w:r>
          </w:p>
          <w:p>
            <w:pPr>
              <w:widowControl/>
              <w:spacing w:line="390" w:lineRule="exact"/>
              <w:jc w:val="center"/>
              <w:rPr>
                <w:rFonts w:ascii="宋体" w:hAnsi="宋体"/>
                <w:color w:val="000000"/>
                <w:kern w:val="0"/>
                <w:szCs w:val="21"/>
              </w:rPr>
            </w:pPr>
            <w:r>
              <w:rPr>
                <w:rFonts w:hint="eastAsia" w:ascii="宋体" w:hAnsi="宋体"/>
                <w:color w:val="000000"/>
                <w:kern w:val="0"/>
                <w:szCs w:val="21"/>
              </w:rPr>
              <w:t>交通大学</w:t>
            </w:r>
          </w:p>
        </w:tc>
        <w:tc>
          <w:tcPr>
            <w:tcW w:w="1469"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姚宏 王玉凯 许建民 田盛</w:t>
            </w:r>
          </w:p>
        </w:tc>
        <w:tc>
          <w:tcPr>
            <w:tcW w:w="709" w:type="dxa"/>
            <w:tcBorders>
              <w:top w:val="single" w:color="auto" w:sz="4" w:space="0"/>
              <w:left w:val="nil"/>
              <w:bottom w:val="single" w:color="auto" w:sz="4" w:space="0"/>
              <w:right w:val="single" w:color="auto" w:sz="8"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有效</w:t>
            </w:r>
          </w:p>
        </w:tc>
      </w:tr>
      <w:tr>
        <w:tblPrEx>
          <w:tblCellMar>
            <w:top w:w="0" w:type="dxa"/>
            <w:left w:w="108" w:type="dxa"/>
            <w:bottom w:w="0" w:type="dxa"/>
            <w:right w:w="108" w:type="dxa"/>
          </w:tblCellMar>
        </w:tblPrEx>
        <w:trPr>
          <w:trHeight w:val="611" w:hRule="atLeast"/>
          <w:jc w:val="center"/>
        </w:trPr>
        <w:tc>
          <w:tcPr>
            <w:tcW w:w="478"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4</w:t>
            </w:r>
          </w:p>
        </w:tc>
        <w:tc>
          <w:tcPr>
            <w:tcW w:w="709"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w:t>
            </w:r>
          </w:p>
        </w:tc>
        <w:tc>
          <w:tcPr>
            <w:tcW w:w="2500"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一种同步短程硝化与生物膜式厌氧氨氧化的方法及装置</w:t>
            </w:r>
          </w:p>
        </w:tc>
        <w:tc>
          <w:tcPr>
            <w:tcW w:w="1118"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ZL201310093431.2</w:t>
            </w:r>
          </w:p>
        </w:tc>
        <w:tc>
          <w:tcPr>
            <w:tcW w:w="1292" w:type="dxa"/>
            <w:tcBorders>
              <w:top w:val="single" w:color="auto" w:sz="4" w:space="0"/>
              <w:left w:val="single" w:color="auto" w:sz="4" w:space="0"/>
              <w:bottom w:val="single" w:color="auto" w:sz="4" w:space="0"/>
              <w:right w:val="single" w:color="auto" w:sz="4" w:space="0"/>
            </w:tcBorders>
          </w:tcPr>
          <w:p>
            <w:pPr>
              <w:widowControl/>
              <w:spacing w:line="390" w:lineRule="exact"/>
              <w:jc w:val="center"/>
              <w:rPr>
                <w:rFonts w:hint="eastAsia" w:ascii="宋体" w:hAnsi="宋体"/>
                <w:color w:val="000000"/>
                <w:kern w:val="0"/>
                <w:szCs w:val="21"/>
              </w:rPr>
            </w:pPr>
            <w:r>
              <w:rPr>
                <w:rFonts w:hint="eastAsia" w:ascii="宋体" w:hAnsi="宋体"/>
                <w:color w:val="000000"/>
                <w:kern w:val="0"/>
                <w:szCs w:val="21"/>
              </w:rPr>
              <w:t>北京</w:t>
            </w:r>
          </w:p>
          <w:p>
            <w:pPr>
              <w:widowControl/>
              <w:spacing w:line="390" w:lineRule="exact"/>
              <w:jc w:val="center"/>
              <w:rPr>
                <w:rFonts w:ascii="宋体" w:hAnsi="宋体"/>
                <w:color w:val="000000"/>
                <w:kern w:val="0"/>
                <w:szCs w:val="21"/>
              </w:rPr>
            </w:pPr>
            <w:r>
              <w:rPr>
                <w:rFonts w:hint="eastAsia" w:ascii="宋体" w:hAnsi="宋体"/>
                <w:color w:val="000000"/>
                <w:kern w:val="0"/>
                <w:szCs w:val="21"/>
              </w:rPr>
              <w:t>交通大学</w:t>
            </w:r>
          </w:p>
        </w:tc>
        <w:tc>
          <w:tcPr>
            <w:tcW w:w="1469"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 xml:space="preserve">姚宏 田盛 </w:t>
            </w:r>
          </w:p>
          <w:p>
            <w:pPr>
              <w:widowControl/>
              <w:spacing w:line="390" w:lineRule="exact"/>
              <w:jc w:val="center"/>
              <w:rPr>
                <w:rFonts w:hint="eastAsia" w:ascii="宋体" w:hAnsi="宋体"/>
                <w:color w:val="000000"/>
                <w:kern w:val="0"/>
                <w:szCs w:val="21"/>
              </w:rPr>
            </w:pPr>
            <w:r>
              <w:rPr>
                <w:rFonts w:hint="eastAsia" w:ascii="宋体" w:hAnsi="宋体"/>
                <w:color w:val="000000"/>
                <w:kern w:val="0"/>
                <w:szCs w:val="21"/>
              </w:rPr>
              <w:t xml:space="preserve">王珏楷 </w:t>
            </w:r>
          </w:p>
          <w:p>
            <w:pPr>
              <w:widowControl/>
              <w:spacing w:line="390" w:lineRule="exact"/>
              <w:jc w:val="center"/>
              <w:rPr>
                <w:rFonts w:ascii="宋体" w:hAnsi="宋体"/>
                <w:color w:val="000000"/>
                <w:kern w:val="0"/>
                <w:szCs w:val="21"/>
              </w:rPr>
            </w:pPr>
            <w:r>
              <w:rPr>
                <w:rFonts w:hint="eastAsia" w:ascii="宋体" w:hAnsi="宋体"/>
                <w:color w:val="000000"/>
                <w:kern w:val="0"/>
                <w:szCs w:val="21"/>
              </w:rPr>
              <w:t xml:space="preserve">左陆珅 </w:t>
            </w:r>
          </w:p>
        </w:tc>
        <w:tc>
          <w:tcPr>
            <w:tcW w:w="709" w:type="dxa"/>
            <w:tcBorders>
              <w:top w:val="single" w:color="auto" w:sz="4" w:space="0"/>
              <w:left w:val="nil"/>
              <w:bottom w:val="single" w:color="auto" w:sz="4" w:space="0"/>
              <w:right w:val="single" w:color="auto" w:sz="8"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有效</w:t>
            </w:r>
          </w:p>
        </w:tc>
      </w:tr>
      <w:tr>
        <w:tblPrEx>
          <w:tblCellMar>
            <w:top w:w="0" w:type="dxa"/>
            <w:left w:w="108" w:type="dxa"/>
            <w:bottom w:w="0" w:type="dxa"/>
            <w:right w:w="108" w:type="dxa"/>
          </w:tblCellMar>
        </w:tblPrEx>
        <w:trPr>
          <w:trHeight w:val="436" w:hRule="atLeast"/>
          <w:jc w:val="center"/>
        </w:trPr>
        <w:tc>
          <w:tcPr>
            <w:tcW w:w="478"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5</w:t>
            </w:r>
          </w:p>
        </w:tc>
        <w:tc>
          <w:tcPr>
            <w:tcW w:w="709"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w:t>
            </w:r>
          </w:p>
        </w:tc>
        <w:tc>
          <w:tcPr>
            <w:tcW w:w="2500"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一种气体循环搅拌式厌氧菌培养驯化装置及方法</w:t>
            </w:r>
          </w:p>
        </w:tc>
        <w:tc>
          <w:tcPr>
            <w:tcW w:w="1118"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ZL201610064892.0</w:t>
            </w:r>
          </w:p>
        </w:tc>
        <w:tc>
          <w:tcPr>
            <w:tcW w:w="1292" w:type="dxa"/>
            <w:tcBorders>
              <w:top w:val="single" w:color="auto" w:sz="4" w:space="0"/>
              <w:left w:val="single" w:color="auto" w:sz="4" w:space="0"/>
              <w:bottom w:val="single" w:color="auto" w:sz="4" w:space="0"/>
              <w:right w:val="single" w:color="auto" w:sz="4" w:space="0"/>
            </w:tcBorders>
          </w:tcPr>
          <w:p>
            <w:pPr>
              <w:widowControl/>
              <w:spacing w:line="390" w:lineRule="exact"/>
              <w:jc w:val="center"/>
              <w:rPr>
                <w:rFonts w:hint="eastAsia" w:ascii="宋体" w:hAnsi="宋体"/>
                <w:color w:val="000000"/>
                <w:kern w:val="0"/>
                <w:szCs w:val="21"/>
              </w:rPr>
            </w:pPr>
            <w:r>
              <w:rPr>
                <w:rFonts w:hint="eastAsia" w:ascii="宋体" w:hAnsi="宋体"/>
                <w:color w:val="000000"/>
                <w:kern w:val="0"/>
                <w:szCs w:val="21"/>
              </w:rPr>
              <w:t>北京</w:t>
            </w:r>
          </w:p>
          <w:p>
            <w:pPr>
              <w:widowControl/>
              <w:spacing w:line="390" w:lineRule="exact"/>
              <w:jc w:val="center"/>
              <w:rPr>
                <w:rFonts w:ascii="宋体" w:hAnsi="宋体"/>
                <w:color w:val="000000"/>
                <w:kern w:val="0"/>
                <w:szCs w:val="21"/>
              </w:rPr>
            </w:pPr>
            <w:r>
              <w:rPr>
                <w:rFonts w:hint="eastAsia" w:ascii="宋体" w:hAnsi="宋体"/>
                <w:color w:val="000000"/>
                <w:kern w:val="0"/>
                <w:szCs w:val="21"/>
              </w:rPr>
              <w:t>交通大学</w:t>
            </w:r>
          </w:p>
        </w:tc>
        <w:tc>
          <w:tcPr>
            <w:tcW w:w="1469"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 xml:space="preserve">姚宏 马金元 </w:t>
            </w:r>
          </w:p>
          <w:p>
            <w:pPr>
              <w:widowControl/>
              <w:spacing w:line="390" w:lineRule="exact"/>
              <w:jc w:val="center"/>
              <w:rPr>
                <w:rFonts w:ascii="宋体" w:hAnsi="宋体"/>
                <w:color w:val="000000"/>
                <w:kern w:val="0"/>
                <w:szCs w:val="21"/>
              </w:rPr>
            </w:pPr>
            <w:r>
              <w:rPr>
                <w:rFonts w:hint="eastAsia" w:ascii="宋体" w:hAnsi="宋体"/>
                <w:color w:val="000000"/>
                <w:kern w:val="0"/>
                <w:szCs w:val="21"/>
              </w:rPr>
              <w:t>于海琴</w:t>
            </w:r>
          </w:p>
        </w:tc>
        <w:tc>
          <w:tcPr>
            <w:tcW w:w="709" w:type="dxa"/>
            <w:tcBorders>
              <w:top w:val="single" w:color="auto" w:sz="4" w:space="0"/>
              <w:left w:val="nil"/>
              <w:bottom w:val="single" w:color="auto" w:sz="4" w:space="0"/>
              <w:right w:val="single" w:color="auto" w:sz="8"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有效</w:t>
            </w:r>
          </w:p>
        </w:tc>
      </w:tr>
      <w:tr>
        <w:tblPrEx>
          <w:tblCellMar>
            <w:top w:w="0" w:type="dxa"/>
            <w:left w:w="108" w:type="dxa"/>
            <w:bottom w:w="0" w:type="dxa"/>
            <w:right w:w="108" w:type="dxa"/>
          </w:tblCellMar>
        </w:tblPrEx>
        <w:trPr>
          <w:trHeight w:val="436" w:hRule="atLeast"/>
          <w:jc w:val="center"/>
        </w:trPr>
        <w:tc>
          <w:tcPr>
            <w:tcW w:w="478"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6</w:t>
            </w:r>
          </w:p>
        </w:tc>
        <w:tc>
          <w:tcPr>
            <w:tcW w:w="709"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w:t>
            </w:r>
          </w:p>
        </w:tc>
        <w:tc>
          <w:tcPr>
            <w:tcW w:w="2500"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一种快速富集脱氮功能菌的填料装置</w:t>
            </w:r>
          </w:p>
        </w:tc>
        <w:tc>
          <w:tcPr>
            <w:tcW w:w="1118"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ZL202021113533.8</w:t>
            </w:r>
          </w:p>
        </w:tc>
        <w:tc>
          <w:tcPr>
            <w:tcW w:w="1292" w:type="dxa"/>
            <w:tcBorders>
              <w:top w:val="single" w:color="auto" w:sz="4" w:space="0"/>
              <w:left w:val="single" w:color="auto" w:sz="4"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北京坦思环保科技有限公司</w:t>
            </w:r>
          </w:p>
        </w:tc>
        <w:tc>
          <w:tcPr>
            <w:tcW w:w="1469"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杨岸明 田盛</w:t>
            </w:r>
          </w:p>
        </w:tc>
        <w:tc>
          <w:tcPr>
            <w:tcW w:w="709" w:type="dxa"/>
            <w:tcBorders>
              <w:top w:val="single" w:color="auto" w:sz="4" w:space="0"/>
              <w:left w:val="nil"/>
              <w:bottom w:val="single" w:color="auto" w:sz="4" w:space="0"/>
              <w:right w:val="single" w:color="auto" w:sz="8"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有效</w:t>
            </w:r>
          </w:p>
        </w:tc>
      </w:tr>
      <w:tr>
        <w:tblPrEx>
          <w:tblCellMar>
            <w:top w:w="0" w:type="dxa"/>
            <w:left w:w="108" w:type="dxa"/>
            <w:bottom w:w="0" w:type="dxa"/>
            <w:right w:w="108" w:type="dxa"/>
          </w:tblCellMar>
        </w:tblPrEx>
        <w:trPr>
          <w:trHeight w:val="867" w:hRule="atLeast"/>
          <w:jc w:val="center"/>
        </w:trPr>
        <w:tc>
          <w:tcPr>
            <w:tcW w:w="478"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7</w:t>
            </w:r>
          </w:p>
        </w:tc>
        <w:tc>
          <w:tcPr>
            <w:tcW w:w="709"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w:t>
            </w:r>
          </w:p>
        </w:tc>
        <w:tc>
          <w:tcPr>
            <w:tcW w:w="2500"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基于硫循环的自养与异养耦合污水深度脱氮装置与方法</w:t>
            </w:r>
          </w:p>
        </w:tc>
        <w:tc>
          <w:tcPr>
            <w:tcW w:w="1118"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ZL202010279341.2</w:t>
            </w:r>
          </w:p>
        </w:tc>
        <w:tc>
          <w:tcPr>
            <w:tcW w:w="1292" w:type="dxa"/>
            <w:tcBorders>
              <w:top w:val="single" w:color="auto" w:sz="4" w:space="0"/>
              <w:left w:val="single" w:color="auto" w:sz="4" w:space="0"/>
              <w:bottom w:val="single" w:color="auto" w:sz="4" w:space="0"/>
              <w:right w:val="single" w:color="auto" w:sz="4" w:space="0"/>
            </w:tcBorders>
          </w:tcPr>
          <w:p>
            <w:pPr>
              <w:widowControl/>
              <w:spacing w:line="390" w:lineRule="exact"/>
              <w:jc w:val="center"/>
              <w:rPr>
                <w:rFonts w:hint="eastAsia" w:ascii="宋体" w:hAnsi="宋体"/>
                <w:color w:val="000000"/>
                <w:kern w:val="0"/>
                <w:szCs w:val="21"/>
              </w:rPr>
            </w:pPr>
            <w:r>
              <w:rPr>
                <w:rFonts w:hint="eastAsia" w:ascii="宋体" w:hAnsi="宋体"/>
                <w:color w:val="000000"/>
                <w:kern w:val="0"/>
                <w:szCs w:val="21"/>
              </w:rPr>
              <w:t>北京</w:t>
            </w:r>
          </w:p>
          <w:p>
            <w:pPr>
              <w:widowControl/>
              <w:spacing w:line="390" w:lineRule="exact"/>
              <w:jc w:val="center"/>
              <w:rPr>
                <w:rFonts w:ascii="宋体" w:hAnsi="宋体"/>
                <w:color w:val="000000"/>
                <w:kern w:val="0"/>
                <w:szCs w:val="21"/>
              </w:rPr>
            </w:pPr>
            <w:r>
              <w:rPr>
                <w:rFonts w:hint="eastAsia" w:ascii="宋体" w:hAnsi="宋体"/>
                <w:color w:val="000000"/>
                <w:kern w:val="0"/>
                <w:szCs w:val="21"/>
              </w:rPr>
              <w:t>交通大学</w:t>
            </w:r>
          </w:p>
        </w:tc>
        <w:tc>
          <w:tcPr>
            <w:tcW w:w="1469"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 xml:space="preserve">姚宏 杨岸明 </w:t>
            </w:r>
          </w:p>
          <w:p>
            <w:pPr>
              <w:widowControl/>
              <w:spacing w:line="390" w:lineRule="exact"/>
              <w:jc w:val="center"/>
              <w:rPr>
                <w:rFonts w:ascii="宋体" w:hAnsi="宋体"/>
                <w:color w:val="000000"/>
                <w:kern w:val="0"/>
                <w:szCs w:val="21"/>
              </w:rPr>
            </w:pPr>
            <w:r>
              <w:rPr>
                <w:rFonts w:hint="eastAsia" w:ascii="宋体" w:hAnsi="宋体"/>
                <w:color w:val="000000"/>
                <w:kern w:val="0"/>
                <w:szCs w:val="21"/>
              </w:rPr>
              <w:t>田盛</w:t>
            </w:r>
          </w:p>
        </w:tc>
        <w:tc>
          <w:tcPr>
            <w:tcW w:w="709" w:type="dxa"/>
            <w:tcBorders>
              <w:top w:val="single" w:color="auto" w:sz="4" w:space="0"/>
              <w:left w:val="nil"/>
              <w:bottom w:val="single" w:color="auto" w:sz="4" w:space="0"/>
              <w:right w:val="single" w:color="auto" w:sz="8"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有效</w:t>
            </w:r>
          </w:p>
        </w:tc>
      </w:tr>
      <w:tr>
        <w:tblPrEx>
          <w:tblCellMar>
            <w:top w:w="0" w:type="dxa"/>
            <w:left w:w="108" w:type="dxa"/>
            <w:bottom w:w="0" w:type="dxa"/>
            <w:right w:w="108" w:type="dxa"/>
          </w:tblCellMar>
        </w:tblPrEx>
        <w:trPr>
          <w:trHeight w:val="436" w:hRule="atLeast"/>
          <w:jc w:val="center"/>
        </w:trPr>
        <w:tc>
          <w:tcPr>
            <w:tcW w:w="478"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8</w:t>
            </w:r>
          </w:p>
        </w:tc>
        <w:tc>
          <w:tcPr>
            <w:tcW w:w="709"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w:t>
            </w:r>
          </w:p>
        </w:tc>
        <w:tc>
          <w:tcPr>
            <w:tcW w:w="2500"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一种利用微曝气生物膜脱氮除碳的装置</w:t>
            </w:r>
          </w:p>
        </w:tc>
        <w:tc>
          <w:tcPr>
            <w:tcW w:w="1118"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ZL202120283742.5</w:t>
            </w:r>
          </w:p>
        </w:tc>
        <w:tc>
          <w:tcPr>
            <w:tcW w:w="1292" w:type="dxa"/>
            <w:tcBorders>
              <w:top w:val="single" w:color="auto" w:sz="4" w:space="0"/>
              <w:left w:val="single" w:color="auto" w:sz="4" w:space="0"/>
              <w:bottom w:val="single" w:color="auto" w:sz="4" w:space="0"/>
              <w:right w:val="single" w:color="auto" w:sz="4" w:space="0"/>
            </w:tcBorders>
          </w:tcPr>
          <w:p>
            <w:pPr>
              <w:widowControl/>
              <w:spacing w:line="390" w:lineRule="exact"/>
              <w:jc w:val="center"/>
              <w:rPr>
                <w:rFonts w:hint="eastAsia" w:ascii="宋体" w:hAnsi="宋体"/>
                <w:color w:val="000000"/>
                <w:kern w:val="0"/>
                <w:szCs w:val="21"/>
              </w:rPr>
            </w:pPr>
            <w:r>
              <w:rPr>
                <w:rFonts w:hint="eastAsia" w:ascii="宋体" w:hAnsi="宋体"/>
                <w:color w:val="000000"/>
                <w:kern w:val="0"/>
                <w:szCs w:val="21"/>
              </w:rPr>
              <w:t>北京</w:t>
            </w:r>
          </w:p>
          <w:p>
            <w:pPr>
              <w:widowControl/>
              <w:spacing w:line="390" w:lineRule="exact"/>
              <w:jc w:val="center"/>
              <w:rPr>
                <w:rFonts w:ascii="宋体" w:hAnsi="宋体"/>
                <w:color w:val="000000"/>
                <w:kern w:val="0"/>
                <w:szCs w:val="21"/>
              </w:rPr>
            </w:pPr>
            <w:r>
              <w:rPr>
                <w:rFonts w:hint="eastAsia" w:ascii="宋体" w:hAnsi="宋体"/>
                <w:color w:val="000000"/>
                <w:kern w:val="0"/>
                <w:szCs w:val="21"/>
              </w:rPr>
              <w:t>交通大学</w:t>
            </w:r>
          </w:p>
        </w:tc>
        <w:tc>
          <w:tcPr>
            <w:tcW w:w="1469"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姚宏 田盛</w:t>
            </w:r>
          </w:p>
          <w:p>
            <w:pPr>
              <w:widowControl/>
              <w:spacing w:line="390" w:lineRule="exact"/>
              <w:jc w:val="center"/>
              <w:rPr>
                <w:rFonts w:ascii="宋体" w:hAnsi="宋体"/>
                <w:color w:val="000000"/>
                <w:kern w:val="0"/>
                <w:szCs w:val="21"/>
              </w:rPr>
            </w:pPr>
            <w:r>
              <w:rPr>
                <w:rFonts w:hint="eastAsia" w:ascii="宋体" w:hAnsi="宋体"/>
                <w:color w:val="000000"/>
                <w:kern w:val="0"/>
                <w:szCs w:val="21"/>
              </w:rPr>
              <w:t>左陆珅</w:t>
            </w:r>
          </w:p>
        </w:tc>
        <w:tc>
          <w:tcPr>
            <w:tcW w:w="709" w:type="dxa"/>
            <w:tcBorders>
              <w:top w:val="single" w:color="auto" w:sz="4" w:space="0"/>
              <w:left w:val="nil"/>
              <w:bottom w:val="single" w:color="auto" w:sz="4" w:space="0"/>
              <w:right w:val="single" w:color="auto" w:sz="8"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有效</w:t>
            </w:r>
          </w:p>
        </w:tc>
      </w:tr>
      <w:tr>
        <w:trPr>
          <w:trHeight w:val="611" w:hRule="atLeast"/>
          <w:jc w:val="center"/>
        </w:trPr>
        <w:tc>
          <w:tcPr>
            <w:tcW w:w="478"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9</w:t>
            </w:r>
          </w:p>
        </w:tc>
        <w:tc>
          <w:tcPr>
            <w:tcW w:w="709"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w:t>
            </w:r>
          </w:p>
        </w:tc>
        <w:tc>
          <w:tcPr>
            <w:tcW w:w="2500"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厌氧氨氧化菌生物脱硝方法</w:t>
            </w:r>
          </w:p>
        </w:tc>
        <w:tc>
          <w:tcPr>
            <w:tcW w:w="1118"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ZL201610815205.4</w:t>
            </w:r>
          </w:p>
        </w:tc>
        <w:tc>
          <w:tcPr>
            <w:tcW w:w="1292" w:type="dxa"/>
            <w:tcBorders>
              <w:top w:val="single" w:color="auto" w:sz="4" w:space="0"/>
              <w:left w:val="single" w:color="auto" w:sz="4" w:space="0"/>
              <w:bottom w:val="single" w:color="auto" w:sz="4" w:space="0"/>
              <w:right w:val="single" w:color="auto" w:sz="4" w:space="0"/>
            </w:tcBorders>
          </w:tcPr>
          <w:p>
            <w:pPr>
              <w:widowControl/>
              <w:spacing w:line="390" w:lineRule="exact"/>
              <w:jc w:val="center"/>
              <w:rPr>
                <w:rFonts w:hint="eastAsia" w:ascii="宋体" w:hAnsi="宋体"/>
                <w:color w:val="000000"/>
                <w:kern w:val="0"/>
                <w:szCs w:val="21"/>
              </w:rPr>
            </w:pPr>
            <w:r>
              <w:rPr>
                <w:rFonts w:hint="eastAsia" w:ascii="宋体" w:hAnsi="宋体"/>
                <w:color w:val="000000"/>
                <w:kern w:val="0"/>
                <w:szCs w:val="21"/>
              </w:rPr>
              <w:t>北京</w:t>
            </w:r>
          </w:p>
          <w:p>
            <w:pPr>
              <w:widowControl/>
              <w:spacing w:line="390" w:lineRule="exact"/>
              <w:jc w:val="center"/>
              <w:rPr>
                <w:rFonts w:ascii="宋体" w:hAnsi="宋体"/>
                <w:color w:val="000000"/>
                <w:kern w:val="0"/>
                <w:szCs w:val="21"/>
              </w:rPr>
            </w:pPr>
            <w:r>
              <w:rPr>
                <w:rFonts w:hint="eastAsia" w:ascii="宋体" w:hAnsi="宋体"/>
                <w:color w:val="000000"/>
                <w:kern w:val="0"/>
                <w:szCs w:val="21"/>
              </w:rPr>
              <w:t>交通大学</w:t>
            </w:r>
          </w:p>
        </w:tc>
        <w:tc>
          <w:tcPr>
            <w:tcW w:w="1469"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姚宏 马金元</w:t>
            </w:r>
          </w:p>
        </w:tc>
        <w:tc>
          <w:tcPr>
            <w:tcW w:w="709" w:type="dxa"/>
            <w:tcBorders>
              <w:top w:val="single" w:color="auto" w:sz="4" w:space="0"/>
              <w:left w:val="nil"/>
              <w:bottom w:val="single" w:color="auto" w:sz="4" w:space="0"/>
              <w:right w:val="single" w:color="auto" w:sz="8"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有效</w:t>
            </w:r>
          </w:p>
        </w:tc>
      </w:tr>
      <w:tr>
        <w:tblPrEx>
          <w:tblCellMar>
            <w:top w:w="0" w:type="dxa"/>
            <w:left w:w="108" w:type="dxa"/>
            <w:bottom w:w="0" w:type="dxa"/>
            <w:right w:w="108" w:type="dxa"/>
          </w:tblCellMar>
        </w:tblPrEx>
        <w:trPr>
          <w:trHeight w:val="817" w:hRule="atLeast"/>
          <w:jc w:val="center"/>
        </w:trPr>
        <w:tc>
          <w:tcPr>
            <w:tcW w:w="478"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10</w:t>
            </w:r>
          </w:p>
        </w:tc>
        <w:tc>
          <w:tcPr>
            <w:tcW w:w="709" w:type="dxa"/>
            <w:tcBorders>
              <w:top w:val="single" w:color="auto" w:sz="4" w:space="0"/>
              <w:left w:val="single" w:color="auto" w:sz="8"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专利</w:t>
            </w:r>
          </w:p>
        </w:tc>
        <w:tc>
          <w:tcPr>
            <w:tcW w:w="2500"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厌氧产甲烷厌氧氨氧化联合处理大豆蛋白废水装置及方法</w:t>
            </w:r>
          </w:p>
        </w:tc>
        <w:tc>
          <w:tcPr>
            <w:tcW w:w="1118"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ZL201410454215.0</w:t>
            </w:r>
          </w:p>
        </w:tc>
        <w:tc>
          <w:tcPr>
            <w:tcW w:w="1292" w:type="dxa"/>
            <w:tcBorders>
              <w:top w:val="single" w:color="auto" w:sz="4" w:space="0"/>
              <w:left w:val="single" w:color="auto" w:sz="4" w:space="0"/>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北京坦思环保科技有限公司</w:t>
            </w:r>
          </w:p>
        </w:tc>
        <w:tc>
          <w:tcPr>
            <w:tcW w:w="1469" w:type="dxa"/>
            <w:tcBorders>
              <w:top w:val="single" w:color="auto" w:sz="4" w:space="0"/>
              <w:left w:val="nil"/>
              <w:bottom w:val="single" w:color="auto" w:sz="4" w:space="0"/>
              <w:right w:val="single" w:color="auto" w:sz="4"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田盛</w:t>
            </w:r>
          </w:p>
        </w:tc>
        <w:tc>
          <w:tcPr>
            <w:tcW w:w="709" w:type="dxa"/>
            <w:tcBorders>
              <w:top w:val="single" w:color="auto" w:sz="4" w:space="0"/>
              <w:left w:val="nil"/>
              <w:bottom w:val="single" w:color="auto" w:sz="4" w:space="0"/>
              <w:right w:val="single" w:color="auto" w:sz="8" w:space="0"/>
            </w:tcBorders>
          </w:tcPr>
          <w:p>
            <w:pPr>
              <w:widowControl/>
              <w:spacing w:line="390" w:lineRule="exact"/>
              <w:jc w:val="center"/>
              <w:rPr>
                <w:rFonts w:ascii="宋体" w:hAnsi="宋体"/>
                <w:color w:val="000000"/>
                <w:kern w:val="0"/>
                <w:szCs w:val="21"/>
              </w:rPr>
            </w:pPr>
            <w:r>
              <w:rPr>
                <w:rFonts w:hint="eastAsia" w:ascii="宋体" w:hAnsi="宋体"/>
                <w:color w:val="000000"/>
                <w:kern w:val="0"/>
                <w:szCs w:val="21"/>
              </w:rPr>
              <w:t>有效</w:t>
            </w:r>
          </w:p>
        </w:tc>
      </w:tr>
    </w:tbl>
    <w:p>
      <w:pPr>
        <w:pStyle w:val="22"/>
        <w:numPr>
          <w:ilvl w:val="0"/>
          <w:numId w:val="1"/>
        </w:numPr>
        <w:spacing w:line="360" w:lineRule="auto"/>
        <w:ind w:firstLineChars="0"/>
        <w:rPr>
          <w:rFonts w:ascii="宋体" w:hAnsi="宋体"/>
          <w:b/>
          <w:sz w:val="28"/>
          <w:szCs w:val="28"/>
        </w:rPr>
      </w:pPr>
      <w:r>
        <w:rPr>
          <w:rFonts w:hint="eastAsia" w:ascii="宋体" w:hAnsi="宋体"/>
          <w:b/>
          <w:sz w:val="28"/>
          <w:szCs w:val="28"/>
        </w:rPr>
        <w:t>成果创新点</w:t>
      </w:r>
    </w:p>
    <w:p>
      <w:pPr>
        <w:pStyle w:val="5"/>
        <w:spacing w:line="440" w:lineRule="exact"/>
        <w:ind w:firstLine="482"/>
        <w:rPr>
          <w:rFonts w:hint="eastAsia" w:ascii="宋体" w:hAnsi="宋体" w:cstheme="minorEastAsia"/>
          <w:b/>
          <w:bCs/>
          <w:color w:val="000000" w:themeColor="text1"/>
          <w:sz w:val="24"/>
          <w14:textFill>
            <w14:solidFill>
              <w14:schemeClr w14:val="tx1"/>
            </w14:solidFill>
          </w14:textFill>
        </w:rPr>
      </w:pPr>
      <w:r>
        <w:rPr>
          <w:rFonts w:hint="eastAsia" w:ascii="宋体" w:hAnsi="宋体" w:cstheme="minorEastAsia"/>
          <w:b/>
          <w:bCs/>
          <w:color w:val="000000" w:themeColor="text1"/>
          <w:sz w:val="24"/>
          <w14:textFill>
            <w14:solidFill>
              <w14:schemeClr w14:val="tx1"/>
            </w14:solidFill>
          </w14:textFill>
        </w:rPr>
        <w:t>(1）构建基于废水脱毒-微生物抗毒、解毒的功能菌种活性强化技术体系。</w:t>
      </w:r>
    </w:p>
    <w:p>
      <w:pPr>
        <w:spacing w:line="360" w:lineRule="auto"/>
        <w:ind w:firstLine="480" w:firstLineChars="200"/>
        <w:rPr>
          <w:rFonts w:hint="eastAsia" w:ascii="宋体" w:hAnsi="宋体" w:cstheme="minorEastAsia"/>
          <w:color w:val="000000" w:themeColor="text1"/>
          <w:sz w:val="24"/>
          <w14:textFill>
            <w14:solidFill>
              <w14:schemeClr w14:val="tx1"/>
            </w14:solidFill>
          </w14:textFill>
        </w:rPr>
      </w:pPr>
      <w:r>
        <w:rPr>
          <w:rFonts w:hint="eastAsia" w:ascii="宋体" w:hAnsi="宋体" w:cstheme="minorEastAsia"/>
          <w:color w:val="000000" w:themeColor="text1"/>
          <w:sz w:val="24"/>
          <w14:textFill>
            <w14:solidFill>
              <w14:schemeClr w14:val="tx1"/>
            </w14:solidFill>
          </w14:textFill>
        </w:rPr>
        <w:t>针对高氨氮废水毒性物质对厌氧氨氧化微生物活性抑制的难题，开发基于毒性物质厌氧分解及污泥吸附的废水脱毒预处理技术、基于微量元素的“营养剂”的功能菌种的抗毒技术、基于外源中间产物的功能菌种活性快速恢复技术，构建了厌氧氨氧化菌活性提高和维持、抗抑制能力增强和快速激活的新体系，解决了工程应用中功能菌活性强化的技术难题。</w:t>
      </w:r>
    </w:p>
    <w:p>
      <w:pPr>
        <w:pStyle w:val="5"/>
        <w:spacing w:line="440" w:lineRule="exact"/>
        <w:ind w:firstLine="482"/>
        <w:rPr>
          <w:rFonts w:ascii="宋体" w:hAnsi="宋体" w:cstheme="minorEastAsia"/>
          <w:b/>
          <w:bCs/>
          <w:color w:val="000000" w:themeColor="text1"/>
          <w:sz w:val="24"/>
          <w14:textFill>
            <w14:solidFill>
              <w14:schemeClr w14:val="tx1"/>
            </w14:solidFill>
          </w14:textFill>
        </w:rPr>
      </w:pPr>
      <w:r>
        <w:rPr>
          <w:rFonts w:hint="eastAsia" w:ascii="宋体" w:hAnsi="宋体" w:cstheme="minorEastAsia"/>
          <w:b/>
          <w:bCs/>
          <w:color w:val="000000" w:themeColor="text1"/>
          <w:sz w:val="24"/>
          <w14:textFill>
            <w14:solidFill>
              <w14:schemeClr w14:val="tx1"/>
            </w14:solidFill>
          </w14:textFill>
        </w:rPr>
        <w:t xml:space="preserve"> (2）开发厌氧氨氧化菌种快速富集及高效持留技术，研发新设备。</w:t>
      </w:r>
    </w:p>
    <w:p>
      <w:pPr>
        <w:spacing w:line="360" w:lineRule="auto"/>
        <w:ind w:firstLine="480" w:firstLineChars="200"/>
        <w:rPr>
          <w:rFonts w:ascii="宋体" w:hAnsi="宋体" w:cstheme="minorEastAsia"/>
          <w:color w:val="000000" w:themeColor="text1"/>
          <w:sz w:val="24"/>
          <w14:textFill>
            <w14:solidFill>
              <w14:schemeClr w14:val="tx1"/>
            </w14:solidFill>
          </w14:textFill>
        </w:rPr>
      </w:pPr>
      <w:r>
        <w:rPr>
          <w:rFonts w:hint="eastAsia" w:ascii="宋体" w:hAnsi="宋体" w:cstheme="minorEastAsia"/>
          <w:color w:val="000000" w:themeColor="text1"/>
          <w:sz w:val="24"/>
          <w14:textFill>
            <w14:solidFill>
              <w14:schemeClr w14:val="tx1"/>
            </w14:solidFill>
          </w14:textFill>
        </w:rPr>
        <w:t>针对厌氧氨氧化菌种富集难、易流失的难题，理清厌氧氨氧化菌聚集关键机制，提出强化微生物聚集调控策略，开发了厌氧氨氧化菌高效富集及工艺快速启动技术，研发了功能菌种稳定持留设备及工艺，显著提高了厌氧氨氧化脱氮技术的工艺可行性。</w:t>
      </w:r>
    </w:p>
    <w:p>
      <w:pPr>
        <w:pStyle w:val="5"/>
        <w:spacing w:line="440" w:lineRule="exact"/>
        <w:ind w:firstLine="482"/>
        <w:rPr>
          <w:rFonts w:ascii="宋体" w:hAnsi="宋体" w:cstheme="minorEastAsia"/>
          <w:b/>
          <w:bCs/>
          <w:color w:val="000000" w:themeColor="text1"/>
          <w:sz w:val="24"/>
          <w14:textFill>
            <w14:solidFill>
              <w14:schemeClr w14:val="tx1"/>
            </w14:solidFill>
          </w14:textFill>
        </w:rPr>
      </w:pPr>
      <w:r>
        <w:rPr>
          <w:rFonts w:hint="eastAsia" w:ascii="宋体" w:hAnsi="宋体" w:cstheme="minorEastAsia"/>
          <w:b/>
          <w:bCs/>
          <w:color w:val="000000" w:themeColor="text1"/>
          <w:sz w:val="24"/>
          <w14:textFill>
            <w14:solidFill>
              <w14:schemeClr w14:val="tx1"/>
            </w14:solidFill>
          </w14:textFill>
        </w:rPr>
        <w:t xml:space="preserve"> (3）构建厌氧氨氧化耦合自养反硝化的自养深度脱氮技术体系。</w:t>
      </w:r>
    </w:p>
    <w:p>
      <w:pPr>
        <w:spacing w:line="360" w:lineRule="auto"/>
        <w:ind w:firstLine="480" w:firstLineChars="200"/>
        <w:rPr>
          <w:rFonts w:hint="eastAsia" w:ascii="宋体" w:hAnsi="宋体" w:cstheme="minorEastAsia"/>
          <w:color w:val="000000" w:themeColor="text1"/>
          <w:sz w:val="24"/>
          <w14:textFill>
            <w14:solidFill>
              <w14:schemeClr w14:val="tx1"/>
            </w14:solidFill>
          </w14:textFill>
        </w:rPr>
      </w:pPr>
      <w:r>
        <w:rPr>
          <w:rFonts w:hint="eastAsia" w:ascii="宋体" w:hAnsi="宋体" w:cstheme="minorEastAsia"/>
          <w:color w:val="000000" w:themeColor="text1"/>
          <w:sz w:val="24"/>
          <w14:textFill>
            <w14:solidFill>
              <w14:schemeClr w14:val="tx1"/>
            </w14:solidFill>
          </w14:textFill>
        </w:rPr>
        <w:t>针对厌氧氨氧化反应氮素副产物导致的出水TN难达标问题，开发基于外源代谢产物的硝氮产量消减技术，构建基于硫自养反硝化和氢自养反硝化耦合厌氧氨氧化组合的深度脱氮技术体系，并完善基于厌氧氨氧化的工业废水强化脱氮集成工艺，实现出水水质稳定达标。</w:t>
      </w:r>
    </w:p>
    <w:p>
      <w:pPr>
        <w:pStyle w:val="5"/>
        <w:spacing w:line="440" w:lineRule="exact"/>
        <w:ind w:firstLine="482"/>
        <w:rPr>
          <w:rFonts w:hint="eastAsia" w:ascii="宋体" w:hAnsi="宋体" w:cstheme="minorEastAsia"/>
          <w:b/>
          <w:bCs/>
          <w:color w:val="000000" w:themeColor="text1"/>
          <w:sz w:val="24"/>
          <w14:textFill>
            <w14:solidFill>
              <w14:schemeClr w14:val="tx1"/>
            </w14:solidFill>
          </w14:textFill>
        </w:rPr>
      </w:pPr>
      <w:r>
        <w:rPr>
          <w:rFonts w:hint="eastAsia" w:ascii="宋体" w:hAnsi="宋体" w:cstheme="minorEastAsia"/>
          <w:b/>
          <w:bCs/>
          <w:color w:val="000000" w:themeColor="text1"/>
          <w:sz w:val="24"/>
          <w14:textFill>
            <w14:solidFill>
              <w14:schemeClr w14:val="tx1"/>
            </w14:solidFill>
          </w14:textFill>
        </w:rPr>
        <w:t>(4）构建以厌氧氨氧化为核心的高氨氮废水深度脱氮新模式。</w:t>
      </w:r>
    </w:p>
    <w:p>
      <w:pPr>
        <w:spacing w:line="360" w:lineRule="auto"/>
        <w:ind w:firstLine="480" w:firstLineChars="200"/>
        <w:rPr>
          <w:rFonts w:ascii="宋体" w:hAnsi="宋体" w:cstheme="minorEastAsia"/>
          <w:color w:val="000000" w:themeColor="text1"/>
          <w:sz w:val="24"/>
          <w14:textFill>
            <w14:solidFill>
              <w14:schemeClr w14:val="tx1"/>
            </w14:solidFill>
          </w14:textFill>
        </w:rPr>
      </w:pPr>
      <w:r>
        <w:rPr>
          <w:rFonts w:hint="eastAsia" w:ascii="宋体" w:hAnsi="宋体" w:cstheme="minorEastAsia"/>
          <w:color w:val="000000" w:themeColor="text1"/>
          <w:sz w:val="24"/>
          <w14:textFill>
            <w14:solidFill>
              <w14:schemeClr w14:val="tx1"/>
            </w14:solidFill>
          </w14:textFill>
        </w:rPr>
        <w:t>针对我国现有高氨氮废水处理效率低、成本高的现状，基于项目开发了自养深度脱氮新方法及新技术，构建了以厌氧氨氧化技术为核心的高氨氮废水深度脱氮应用新模式，实与传统处理模式相比运行费用降低67%以上，碳排放降低77%以上。相关科技成果在煤化工、制药、稀土、餐厨垃圾等16项污（废）水处理工程中应用，累积投资超13亿元，年净化污（废）水7400余万吨，产生经济效益超1.8亿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24FD0"/>
    <w:multiLevelType w:val="multilevel"/>
    <w:tmpl w:val="1C824FD0"/>
    <w:lvl w:ilvl="0" w:tentative="0">
      <w:start w:val="1"/>
      <w:numFmt w:val="decimal"/>
      <w:lvlText w:val="%1."/>
      <w:lvlJc w:val="left"/>
      <w:pPr>
        <w:ind w:left="360" w:hanging="360"/>
      </w:pPr>
      <w:rPr>
        <w:rFonts w:hint="default" w:ascii="宋体" w:hAnsi="宋体"/>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MjUzMTVjOWM0NDJhZWFmNjhmMjdhYTY3OTc0OTIifQ=="/>
  </w:docVars>
  <w:rsids>
    <w:rsidRoot w:val="00A61B6E"/>
    <w:rsid w:val="00004595"/>
    <w:rsid w:val="00046D6C"/>
    <w:rsid w:val="0006543F"/>
    <w:rsid w:val="0006690C"/>
    <w:rsid w:val="00075F2B"/>
    <w:rsid w:val="000F63AE"/>
    <w:rsid w:val="002458C5"/>
    <w:rsid w:val="00262861"/>
    <w:rsid w:val="00290C35"/>
    <w:rsid w:val="002B2442"/>
    <w:rsid w:val="00306B81"/>
    <w:rsid w:val="00381411"/>
    <w:rsid w:val="00392A72"/>
    <w:rsid w:val="003B0BEF"/>
    <w:rsid w:val="003F18A6"/>
    <w:rsid w:val="003F1B8C"/>
    <w:rsid w:val="004B41E0"/>
    <w:rsid w:val="00505ECF"/>
    <w:rsid w:val="005267C8"/>
    <w:rsid w:val="005A6779"/>
    <w:rsid w:val="005B4584"/>
    <w:rsid w:val="005B7ABB"/>
    <w:rsid w:val="00600258"/>
    <w:rsid w:val="00606EC0"/>
    <w:rsid w:val="00683FD5"/>
    <w:rsid w:val="006842DA"/>
    <w:rsid w:val="006904AD"/>
    <w:rsid w:val="006D00B8"/>
    <w:rsid w:val="006D17F7"/>
    <w:rsid w:val="006E2356"/>
    <w:rsid w:val="0075692E"/>
    <w:rsid w:val="007A78D2"/>
    <w:rsid w:val="00843817"/>
    <w:rsid w:val="0085645E"/>
    <w:rsid w:val="008A4407"/>
    <w:rsid w:val="00915844"/>
    <w:rsid w:val="00930794"/>
    <w:rsid w:val="0095091F"/>
    <w:rsid w:val="00A0194B"/>
    <w:rsid w:val="00A4572F"/>
    <w:rsid w:val="00A50925"/>
    <w:rsid w:val="00A61B6E"/>
    <w:rsid w:val="00AF6CC0"/>
    <w:rsid w:val="00B427D7"/>
    <w:rsid w:val="00B4678C"/>
    <w:rsid w:val="00B47458"/>
    <w:rsid w:val="00B613CE"/>
    <w:rsid w:val="00B954CA"/>
    <w:rsid w:val="00C30299"/>
    <w:rsid w:val="00C32CD9"/>
    <w:rsid w:val="00C5793B"/>
    <w:rsid w:val="00D11F0F"/>
    <w:rsid w:val="00D2088D"/>
    <w:rsid w:val="00D33E6B"/>
    <w:rsid w:val="00D50DDE"/>
    <w:rsid w:val="00D578F7"/>
    <w:rsid w:val="00D87FB0"/>
    <w:rsid w:val="00D97BAC"/>
    <w:rsid w:val="00DA594D"/>
    <w:rsid w:val="00DD53B8"/>
    <w:rsid w:val="00E309F3"/>
    <w:rsid w:val="00E6250E"/>
    <w:rsid w:val="00EB0A5B"/>
    <w:rsid w:val="00EC2D68"/>
    <w:rsid w:val="00F778ED"/>
    <w:rsid w:val="00F82986"/>
    <w:rsid w:val="08725C52"/>
    <w:rsid w:val="0AFB3F46"/>
    <w:rsid w:val="11FC55B2"/>
    <w:rsid w:val="12850115"/>
    <w:rsid w:val="19F85670"/>
    <w:rsid w:val="1E295F38"/>
    <w:rsid w:val="24044891"/>
    <w:rsid w:val="29CA4E9B"/>
    <w:rsid w:val="2A693A20"/>
    <w:rsid w:val="2B321057"/>
    <w:rsid w:val="34620C30"/>
    <w:rsid w:val="36543529"/>
    <w:rsid w:val="38351B40"/>
    <w:rsid w:val="40453D92"/>
    <w:rsid w:val="48B93350"/>
    <w:rsid w:val="4A8304E5"/>
    <w:rsid w:val="4E76772F"/>
    <w:rsid w:val="5896749A"/>
    <w:rsid w:val="5D417D61"/>
    <w:rsid w:val="7C7C270C"/>
    <w:rsid w:val="7CD80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Plain Text"/>
    <w:basedOn w:val="1"/>
    <w:qFormat/>
    <w:uiPriority w:val="0"/>
    <w:pPr>
      <w:spacing w:line="360" w:lineRule="auto"/>
      <w:ind w:firstLine="480" w:firstLineChars="200"/>
    </w:pPr>
    <w:rPr>
      <w:rFonts w:ascii="仿宋_GB2312"/>
    </w:rPr>
  </w:style>
  <w:style w:type="paragraph" w:styleId="6">
    <w:name w:val="Balloon Text"/>
    <w:basedOn w:val="1"/>
    <w:link w:val="20"/>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annotation subject"/>
    <w:basedOn w:val="4"/>
    <w:next w:val="4"/>
    <w:link w:val="19"/>
    <w:semiHidden/>
    <w:unhideWhenUsed/>
    <w:qFormat/>
    <w:uiPriority w:val="99"/>
    <w:rPr>
      <w:b/>
      <w:bCs/>
    </w:rPr>
  </w:style>
  <w:style w:type="table" w:styleId="11">
    <w:name w:val="Table Grid"/>
    <w:basedOn w:val="10"/>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qFormat/>
    <w:uiPriority w:val="0"/>
    <w:rPr>
      <w:color w:val="666666"/>
      <w:u w:val="none"/>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标题 3 Char"/>
    <w:basedOn w:val="12"/>
    <w:link w:val="3"/>
    <w:semiHidden/>
    <w:qFormat/>
    <w:uiPriority w:val="9"/>
    <w:rPr>
      <w:rFonts w:ascii="Times New Roman" w:hAnsi="Times New Roman" w:eastAsia="宋体" w:cs="Times New Roman"/>
      <w:b/>
      <w:bCs/>
      <w:sz w:val="32"/>
      <w:szCs w:val="32"/>
    </w:rPr>
  </w:style>
  <w:style w:type="character" w:customStyle="1" w:styleId="18">
    <w:name w:val="批注文字 Char"/>
    <w:basedOn w:val="12"/>
    <w:link w:val="4"/>
    <w:semiHidden/>
    <w:qFormat/>
    <w:uiPriority w:val="99"/>
    <w:rPr>
      <w:rFonts w:ascii="Times New Roman" w:hAnsi="Times New Roman" w:eastAsia="宋体" w:cs="Times New Roman"/>
      <w:szCs w:val="24"/>
    </w:rPr>
  </w:style>
  <w:style w:type="character" w:customStyle="1" w:styleId="19">
    <w:name w:val="批注主题 Char"/>
    <w:basedOn w:val="18"/>
    <w:link w:val="9"/>
    <w:semiHidden/>
    <w:qFormat/>
    <w:uiPriority w:val="99"/>
    <w:rPr>
      <w:rFonts w:ascii="Times New Roman" w:hAnsi="Times New Roman" w:eastAsia="宋体" w:cs="Times New Roman"/>
      <w:b/>
      <w:bCs/>
      <w:szCs w:val="24"/>
    </w:rPr>
  </w:style>
  <w:style w:type="character" w:customStyle="1" w:styleId="20">
    <w:name w:val="批注框文本 Char"/>
    <w:basedOn w:val="12"/>
    <w:link w:val="6"/>
    <w:semiHidden/>
    <w:qFormat/>
    <w:uiPriority w:val="99"/>
    <w:rPr>
      <w:rFonts w:ascii="Times New Roman" w:hAnsi="Times New Roman" w:eastAsia="宋体" w:cs="Times New Roman"/>
      <w:sz w:val="18"/>
      <w:szCs w:val="18"/>
    </w:rPr>
  </w:style>
  <w:style w:type="character" w:customStyle="1" w:styleId="21">
    <w:name w:val="标题 1 Char"/>
    <w:basedOn w:val="12"/>
    <w:link w:val="2"/>
    <w:qFormat/>
    <w:uiPriority w:val="9"/>
    <w:rPr>
      <w:rFonts w:ascii="Times New Roman" w:hAnsi="Times New Roman" w:eastAsia="宋体" w:cs="Times New Roman"/>
      <w:b/>
      <w:bCs/>
      <w:kern w:val="44"/>
      <w:sz w:val="44"/>
      <w:szCs w:val="44"/>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1221</Words>
  <Characters>1387</Characters>
  <Lines>10</Lines>
  <Paragraphs>3</Paragraphs>
  <TotalTime>0</TotalTime>
  <ScaleCrop>false</ScaleCrop>
  <LinksUpToDate>false</LinksUpToDate>
  <CharactersWithSpaces>1407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2022-06-24T11:18:00Z</dcterms:created>
  <dc:creator>Vincent Zhang</dc:creator>
  <cp:lastModifiedBy>keyond</cp:lastModifiedBy>
  <dcterms:modified xsi:type="dcterms:W3CDTF">2022-06-25T00:50:45Z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C6173E5CE2A8435BA7DB2E0CF54B4E3B</vt:lpwstr>
  </property>
</Properties>
</file>