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eastAsia="仿宋_GB2312"/>
          <w:kern w:val="0"/>
          <w:sz w:val="28"/>
          <w:szCs w:val="28"/>
        </w:rPr>
      </w:pPr>
      <w:r>
        <w:rPr>
          <w:rFonts w:hint="eastAsia" w:eastAsia="仿宋_GB2312"/>
          <w:kern w:val="0"/>
          <w:sz w:val="28"/>
          <w:szCs w:val="28"/>
        </w:rPr>
        <w:t>附件：</w:t>
      </w:r>
    </w:p>
    <w:p>
      <w:pPr>
        <w:pStyle w:val="22"/>
        <w:numPr>
          <w:ilvl w:val="0"/>
          <w:numId w:val="1"/>
        </w:numPr>
        <w:spacing w:line="360" w:lineRule="auto"/>
        <w:ind w:firstLineChars="0"/>
        <w:rPr>
          <w:sz w:val="24"/>
        </w:rPr>
      </w:pPr>
      <w:r>
        <w:rPr>
          <w:rFonts w:ascii="宋体" w:hAnsi="宋体"/>
          <w:b/>
          <w:sz w:val="28"/>
          <w:szCs w:val="28"/>
        </w:rPr>
        <w:t>项目名称：</w:t>
      </w:r>
      <w:r>
        <w:rPr>
          <w:rFonts w:hint="eastAsia" w:ascii="宋体" w:hAnsi="宋体"/>
          <w:sz w:val="24"/>
        </w:rPr>
        <w:t>高氨氮废水自养脱氮降碳关键技术与产业化应用</w:t>
      </w:r>
      <w:r>
        <w:rPr>
          <w:rFonts w:hint="eastAsia" w:ascii="宋体" w:hAnsi="宋体"/>
          <w:sz w:val="24"/>
          <w:lang w:val="en-US" w:eastAsia="zh-CN"/>
        </w:rPr>
        <w:t>(一等奖）</w:t>
      </w:r>
    </w:p>
    <w:p>
      <w:pPr>
        <w:pStyle w:val="22"/>
        <w:numPr>
          <w:ilvl w:val="0"/>
          <w:numId w:val="1"/>
        </w:numPr>
        <w:spacing w:line="360" w:lineRule="auto"/>
        <w:ind w:firstLineChars="0"/>
        <w:rPr>
          <w:rFonts w:ascii="宋体" w:hAnsi="宋体"/>
          <w:b/>
          <w:sz w:val="28"/>
          <w:szCs w:val="28"/>
        </w:rPr>
      </w:pPr>
      <w:r>
        <w:rPr>
          <w:rFonts w:hint="eastAsia" w:ascii="宋体" w:hAnsi="宋体"/>
          <w:b/>
          <w:sz w:val="28"/>
          <w:szCs w:val="28"/>
        </w:rPr>
        <w:t>主要完成单位及其排序</w:t>
      </w:r>
    </w:p>
    <w:p>
      <w:pPr>
        <w:pStyle w:val="5"/>
        <w:spacing w:line="440" w:lineRule="exact"/>
        <w:rPr>
          <w:rFonts w:ascii="宋体" w:hAnsi="宋体" w:cstheme="minorEastAsia"/>
          <w:color w:val="000000" w:themeColor="text1"/>
          <w:sz w:val="24"/>
          <w:szCs w:val="32"/>
          <w14:textFill>
            <w14:solidFill>
              <w14:schemeClr w14:val="tx1"/>
            </w14:solidFill>
          </w14:textFill>
        </w:rPr>
      </w:pPr>
      <w:r>
        <w:rPr>
          <w:rFonts w:hint="eastAsia" w:ascii="宋体" w:hAnsi="宋体" w:cstheme="minorEastAsia"/>
          <w:color w:val="000000" w:themeColor="text1"/>
          <w:sz w:val="24"/>
          <w:szCs w:val="32"/>
          <w14:textFill>
            <w14:solidFill>
              <w14:schemeClr w14:val="tx1"/>
            </w14:solidFill>
          </w14:textFill>
        </w:rPr>
        <w:t>北京交通大学、北京坦思环保科技有限公司、中国国检测试控股集团股份有限公司</w:t>
      </w:r>
    </w:p>
    <w:p>
      <w:pPr>
        <w:pStyle w:val="22"/>
        <w:numPr>
          <w:ilvl w:val="0"/>
          <w:numId w:val="1"/>
        </w:numPr>
        <w:spacing w:line="360" w:lineRule="auto"/>
        <w:ind w:firstLineChars="0"/>
        <w:rPr>
          <w:rFonts w:ascii="宋体" w:hAnsi="宋体"/>
          <w:sz w:val="24"/>
        </w:rPr>
      </w:pPr>
      <w:r>
        <w:rPr>
          <w:rFonts w:hint="eastAsia" w:ascii="宋体" w:hAnsi="宋体"/>
          <w:b/>
          <w:sz w:val="28"/>
          <w:szCs w:val="28"/>
        </w:rPr>
        <w:t>主要完成人及其排序</w:t>
      </w:r>
    </w:p>
    <w:p>
      <w:pPr>
        <w:pStyle w:val="22"/>
        <w:spacing w:line="360" w:lineRule="auto"/>
        <w:ind w:firstLine="0" w:firstLineChars="0"/>
        <w:rPr>
          <w:rFonts w:ascii="宋体" w:hAnsi="宋体"/>
          <w:b/>
          <w:sz w:val="28"/>
          <w:szCs w:val="28"/>
        </w:rPr>
      </w:pPr>
      <w:r>
        <w:rPr>
          <w:rFonts w:hint="eastAsia" w:ascii="宋体" w:hAnsi="宋体" w:cstheme="minorEastAsia"/>
          <w:color w:val="000000" w:themeColor="text1"/>
          <w:sz w:val="24"/>
          <w:szCs w:val="32"/>
          <w14:textFill>
            <w14:solidFill>
              <w14:schemeClr w14:val="tx1"/>
            </w14:solidFill>
          </w14:textFill>
        </w:rPr>
        <w:t>1、姚宏；2、马金元；3、田盛；4、杨岸明；5、孙绍斌；6、吴</w:t>
      </w:r>
      <w:bookmarkStart w:id="0" w:name="_GoBack"/>
      <w:bookmarkEnd w:id="0"/>
      <w:r>
        <w:rPr>
          <w:rFonts w:hint="eastAsia" w:ascii="宋体" w:hAnsi="宋体" w:cstheme="minorEastAsia"/>
          <w:color w:val="000000" w:themeColor="text1"/>
          <w:sz w:val="24"/>
          <w:szCs w:val="32"/>
          <w14:textFill>
            <w14:solidFill>
              <w14:schemeClr w14:val="tx1"/>
            </w14:solidFill>
          </w14:textFill>
        </w:rPr>
        <w:t>辉廷</w:t>
      </w:r>
    </w:p>
    <w:p>
      <w:pPr>
        <w:pStyle w:val="22"/>
        <w:numPr>
          <w:ilvl w:val="0"/>
          <w:numId w:val="1"/>
        </w:numPr>
        <w:spacing w:line="360" w:lineRule="auto"/>
        <w:ind w:firstLineChars="0"/>
        <w:rPr>
          <w:rFonts w:ascii="宋体" w:hAnsi="宋体"/>
          <w:b/>
          <w:sz w:val="28"/>
          <w:szCs w:val="28"/>
        </w:rPr>
      </w:pPr>
      <w:r>
        <w:rPr>
          <w:rFonts w:hint="eastAsia" w:ascii="宋体" w:hAnsi="宋体"/>
          <w:b/>
          <w:sz w:val="28"/>
          <w:szCs w:val="28"/>
        </w:rPr>
        <w:t>知识产权</w:t>
      </w:r>
    </w:p>
    <w:tbl>
      <w:tblPr>
        <w:tblStyle w:val="10"/>
        <w:tblW w:w="4855" w:type="pct"/>
        <w:jc w:val="center"/>
        <w:tblLayout w:type="fixed"/>
        <w:tblCellMar>
          <w:top w:w="0" w:type="dxa"/>
          <w:left w:w="108" w:type="dxa"/>
          <w:bottom w:w="0" w:type="dxa"/>
          <w:right w:w="108" w:type="dxa"/>
        </w:tblCellMar>
      </w:tblPr>
      <w:tblGrid>
        <w:gridCol w:w="478"/>
        <w:gridCol w:w="709"/>
        <w:gridCol w:w="2500"/>
        <w:gridCol w:w="1118"/>
        <w:gridCol w:w="1292"/>
        <w:gridCol w:w="1469"/>
        <w:gridCol w:w="709"/>
      </w:tblGrid>
      <w:tr>
        <w:trPr>
          <w:trHeight w:val="680" w:hRule="atLeast"/>
          <w:jc w:val="center"/>
        </w:trPr>
        <w:tc>
          <w:tcPr>
            <w:tcW w:w="478" w:type="dxa"/>
            <w:tcBorders>
              <w:top w:val="single" w:color="auto" w:sz="8" w:space="0"/>
              <w:left w:val="single" w:color="auto" w:sz="8" w:space="0"/>
              <w:bottom w:val="single" w:color="auto" w:sz="4" w:space="0"/>
              <w:right w:val="single" w:color="auto" w:sz="4" w:space="0"/>
            </w:tcBorders>
            <w:vAlign w:val="center"/>
          </w:tcPr>
          <w:p>
            <w:pPr>
              <w:widowControl/>
              <w:spacing w:line="390" w:lineRule="exact"/>
              <w:jc w:val="center"/>
              <w:rPr>
                <w:rFonts w:ascii="宋体" w:hAnsi="宋体"/>
                <w:color w:val="000000"/>
                <w:kern w:val="0"/>
                <w:szCs w:val="21"/>
              </w:rPr>
            </w:pPr>
            <w:r>
              <w:rPr>
                <w:rFonts w:hint="eastAsia" w:ascii="宋体" w:hAnsi="宋体"/>
                <w:color w:val="000000"/>
                <w:kern w:val="0"/>
                <w:szCs w:val="21"/>
              </w:rPr>
              <w:t>序号</w:t>
            </w:r>
          </w:p>
        </w:tc>
        <w:tc>
          <w:tcPr>
            <w:tcW w:w="709" w:type="dxa"/>
            <w:tcBorders>
              <w:top w:val="single" w:color="auto" w:sz="8" w:space="0"/>
              <w:left w:val="single" w:color="auto" w:sz="8" w:space="0"/>
              <w:bottom w:val="single" w:color="auto" w:sz="4" w:space="0"/>
              <w:right w:val="single" w:color="auto" w:sz="4" w:space="0"/>
            </w:tcBorders>
            <w:vAlign w:val="center"/>
          </w:tcPr>
          <w:p>
            <w:pPr>
              <w:widowControl/>
              <w:spacing w:line="390" w:lineRule="exact"/>
              <w:jc w:val="center"/>
              <w:rPr>
                <w:rFonts w:ascii="宋体" w:hAnsi="宋体"/>
                <w:color w:val="000000"/>
                <w:kern w:val="0"/>
                <w:szCs w:val="21"/>
              </w:rPr>
            </w:pPr>
            <w:r>
              <w:rPr>
                <w:rFonts w:hint="eastAsia" w:ascii="宋体" w:hAnsi="宋体"/>
                <w:color w:val="000000"/>
                <w:kern w:val="0"/>
                <w:szCs w:val="21"/>
              </w:rPr>
              <w:t>知识产权</w:t>
            </w:r>
          </w:p>
        </w:tc>
        <w:tc>
          <w:tcPr>
            <w:tcW w:w="2500" w:type="dxa"/>
            <w:tcBorders>
              <w:top w:val="single" w:color="auto" w:sz="8" w:space="0"/>
              <w:left w:val="nil"/>
              <w:bottom w:val="single" w:color="auto" w:sz="4" w:space="0"/>
              <w:right w:val="single" w:color="auto" w:sz="4" w:space="0"/>
            </w:tcBorders>
            <w:vAlign w:val="center"/>
          </w:tcPr>
          <w:p>
            <w:pPr>
              <w:widowControl/>
              <w:spacing w:line="390" w:lineRule="exact"/>
              <w:jc w:val="center"/>
              <w:rPr>
                <w:rFonts w:ascii="宋体" w:hAnsi="宋体"/>
                <w:color w:val="000000"/>
                <w:kern w:val="0"/>
                <w:szCs w:val="21"/>
              </w:rPr>
            </w:pPr>
            <w:r>
              <w:rPr>
                <w:rFonts w:hint="eastAsia" w:ascii="宋体" w:hAnsi="宋体"/>
                <w:color w:val="000000"/>
                <w:kern w:val="0"/>
                <w:szCs w:val="21"/>
              </w:rPr>
              <w:t>具体名称</w:t>
            </w:r>
          </w:p>
        </w:tc>
        <w:tc>
          <w:tcPr>
            <w:tcW w:w="1118" w:type="dxa"/>
            <w:tcBorders>
              <w:top w:val="single" w:color="auto" w:sz="8"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专利号</w:t>
            </w:r>
          </w:p>
        </w:tc>
        <w:tc>
          <w:tcPr>
            <w:tcW w:w="1292" w:type="dxa"/>
            <w:tcBorders>
              <w:top w:val="single" w:color="auto" w:sz="8" w:space="0"/>
              <w:left w:val="single" w:color="auto" w:sz="4" w:space="0"/>
              <w:bottom w:val="single" w:color="auto" w:sz="4" w:space="0"/>
              <w:right w:val="single" w:color="auto" w:sz="4" w:space="0"/>
            </w:tcBorders>
            <w:vAlign w:val="center"/>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专利权利人</w:t>
            </w:r>
          </w:p>
        </w:tc>
        <w:tc>
          <w:tcPr>
            <w:tcW w:w="1469" w:type="dxa"/>
            <w:tcBorders>
              <w:top w:val="single" w:color="auto" w:sz="8" w:space="0"/>
              <w:left w:val="nil"/>
              <w:bottom w:val="single" w:color="auto" w:sz="4" w:space="0"/>
              <w:right w:val="single" w:color="auto" w:sz="4" w:space="0"/>
            </w:tcBorders>
            <w:vAlign w:val="center"/>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专利发明人</w:t>
            </w:r>
          </w:p>
        </w:tc>
        <w:tc>
          <w:tcPr>
            <w:tcW w:w="709" w:type="dxa"/>
            <w:tcBorders>
              <w:top w:val="single" w:color="auto" w:sz="8" w:space="0"/>
              <w:left w:val="nil"/>
              <w:bottom w:val="single" w:color="auto" w:sz="4" w:space="0"/>
              <w:right w:val="single" w:color="auto" w:sz="8" w:space="0"/>
            </w:tcBorders>
            <w:vAlign w:val="center"/>
          </w:tcPr>
          <w:p>
            <w:pPr>
              <w:widowControl/>
              <w:spacing w:line="390" w:lineRule="exact"/>
              <w:jc w:val="center"/>
              <w:rPr>
                <w:rFonts w:ascii="宋体" w:hAnsi="宋体"/>
                <w:color w:val="000000"/>
                <w:kern w:val="0"/>
                <w:szCs w:val="21"/>
              </w:rPr>
            </w:pPr>
            <w:r>
              <w:rPr>
                <w:rFonts w:hint="eastAsia" w:ascii="宋体" w:hAnsi="宋体"/>
                <w:color w:val="000000"/>
                <w:kern w:val="0"/>
                <w:szCs w:val="21"/>
              </w:rPr>
              <w:t>有效</w:t>
            </w:r>
          </w:p>
          <w:p>
            <w:pPr>
              <w:widowControl/>
              <w:spacing w:line="390" w:lineRule="exact"/>
              <w:jc w:val="center"/>
              <w:rPr>
                <w:rFonts w:ascii="宋体" w:hAnsi="宋体"/>
                <w:color w:val="000000"/>
                <w:kern w:val="0"/>
                <w:szCs w:val="21"/>
              </w:rPr>
            </w:pPr>
            <w:r>
              <w:rPr>
                <w:rFonts w:hint="eastAsia" w:ascii="宋体" w:hAnsi="宋体"/>
                <w:color w:val="000000"/>
                <w:kern w:val="0"/>
                <w:szCs w:val="21"/>
              </w:rPr>
              <w:t>状态</w:t>
            </w:r>
          </w:p>
        </w:tc>
      </w:tr>
      <w:tr>
        <w:tblPrEx>
          <w:tblCellMar>
            <w:top w:w="0" w:type="dxa"/>
            <w:left w:w="108" w:type="dxa"/>
            <w:bottom w:w="0" w:type="dxa"/>
            <w:right w:w="108" w:type="dxa"/>
          </w:tblCellMar>
        </w:tblPrEx>
        <w:trPr>
          <w:trHeight w:val="798" w:hRule="atLeast"/>
          <w:jc w:val="center"/>
        </w:trPr>
        <w:tc>
          <w:tcPr>
            <w:tcW w:w="478"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1</w:t>
            </w:r>
          </w:p>
        </w:tc>
        <w:tc>
          <w:tcPr>
            <w:tcW w:w="709"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w:t>
            </w:r>
          </w:p>
        </w:tc>
        <w:tc>
          <w:tcPr>
            <w:tcW w:w="2500"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厌氧氨氧化菌种的保藏方法</w:t>
            </w:r>
          </w:p>
        </w:tc>
        <w:tc>
          <w:tcPr>
            <w:tcW w:w="1118"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ZL201610914868.1</w:t>
            </w:r>
          </w:p>
        </w:tc>
        <w:tc>
          <w:tcPr>
            <w:tcW w:w="1292" w:type="dxa"/>
            <w:tcBorders>
              <w:top w:val="single" w:color="auto" w:sz="4" w:space="0"/>
              <w:left w:val="single" w:color="auto" w:sz="4" w:space="0"/>
              <w:bottom w:val="single" w:color="auto" w:sz="4" w:space="0"/>
              <w:right w:val="single" w:color="auto" w:sz="4" w:space="0"/>
            </w:tcBorders>
          </w:tcPr>
          <w:p>
            <w:pPr>
              <w:widowControl/>
              <w:spacing w:line="390" w:lineRule="exact"/>
              <w:jc w:val="center"/>
              <w:rPr>
                <w:rFonts w:hint="eastAsia" w:ascii="宋体" w:hAnsi="宋体"/>
                <w:color w:val="000000"/>
                <w:kern w:val="0"/>
                <w:szCs w:val="21"/>
              </w:rPr>
            </w:pPr>
            <w:r>
              <w:rPr>
                <w:rFonts w:hint="eastAsia" w:ascii="宋体" w:hAnsi="宋体"/>
                <w:color w:val="000000"/>
                <w:kern w:val="0"/>
                <w:szCs w:val="21"/>
              </w:rPr>
              <w:t>北京</w:t>
            </w:r>
          </w:p>
          <w:p>
            <w:pPr>
              <w:widowControl/>
              <w:spacing w:line="390" w:lineRule="exact"/>
              <w:jc w:val="center"/>
              <w:rPr>
                <w:rFonts w:ascii="宋体" w:hAnsi="宋体"/>
                <w:color w:val="000000"/>
                <w:kern w:val="0"/>
                <w:szCs w:val="21"/>
              </w:rPr>
            </w:pPr>
            <w:r>
              <w:rPr>
                <w:rFonts w:hint="eastAsia" w:ascii="宋体" w:hAnsi="宋体"/>
                <w:color w:val="000000"/>
                <w:kern w:val="0"/>
                <w:szCs w:val="21"/>
              </w:rPr>
              <w:t>交通大学</w:t>
            </w:r>
          </w:p>
        </w:tc>
        <w:tc>
          <w:tcPr>
            <w:tcW w:w="1469" w:type="dxa"/>
            <w:tcBorders>
              <w:top w:val="single" w:color="auto" w:sz="4" w:space="0"/>
              <w:left w:val="nil"/>
              <w:bottom w:val="single" w:color="auto" w:sz="4" w:space="0"/>
              <w:right w:val="single" w:color="auto" w:sz="4" w:space="0"/>
            </w:tcBorders>
          </w:tcPr>
          <w:p>
            <w:pPr>
              <w:widowControl/>
              <w:spacing w:line="390" w:lineRule="exact"/>
              <w:jc w:val="center"/>
              <w:rPr>
                <w:rFonts w:hint="eastAsia" w:ascii="宋体" w:hAnsi="宋体"/>
                <w:color w:val="000000"/>
                <w:kern w:val="0"/>
                <w:szCs w:val="21"/>
              </w:rPr>
            </w:pPr>
            <w:r>
              <w:rPr>
                <w:rFonts w:hint="eastAsia" w:ascii="宋体" w:hAnsi="宋体"/>
                <w:color w:val="000000"/>
                <w:kern w:val="0"/>
                <w:szCs w:val="21"/>
              </w:rPr>
              <w:t xml:space="preserve">姚宏 </w:t>
            </w:r>
          </w:p>
          <w:p>
            <w:pPr>
              <w:widowControl/>
              <w:spacing w:line="390" w:lineRule="exact"/>
              <w:jc w:val="center"/>
              <w:rPr>
                <w:rFonts w:ascii="宋体" w:hAnsi="宋体"/>
                <w:color w:val="000000"/>
                <w:kern w:val="0"/>
                <w:szCs w:val="21"/>
              </w:rPr>
            </w:pPr>
            <w:r>
              <w:rPr>
                <w:rFonts w:hint="eastAsia" w:ascii="宋体" w:hAnsi="宋体"/>
                <w:color w:val="000000"/>
                <w:kern w:val="0"/>
                <w:szCs w:val="21"/>
              </w:rPr>
              <w:t xml:space="preserve">马金元 </w:t>
            </w:r>
          </w:p>
          <w:p>
            <w:pPr>
              <w:widowControl/>
              <w:spacing w:line="390" w:lineRule="exact"/>
              <w:jc w:val="center"/>
              <w:rPr>
                <w:rFonts w:ascii="宋体" w:hAnsi="宋体"/>
                <w:color w:val="000000"/>
                <w:kern w:val="0"/>
                <w:szCs w:val="21"/>
              </w:rPr>
            </w:pPr>
            <w:r>
              <w:rPr>
                <w:rFonts w:hint="eastAsia" w:ascii="宋体" w:hAnsi="宋体"/>
                <w:color w:val="000000"/>
                <w:kern w:val="0"/>
                <w:szCs w:val="21"/>
              </w:rPr>
              <w:t>杨正文</w:t>
            </w:r>
          </w:p>
        </w:tc>
        <w:tc>
          <w:tcPr>
            <w:tcW w:w="709" w:type="dxa"/>
            <w:tcBorders>
              <w:top w:val="single" w:color="auto" w:sz="4" w:space="0"/>
              <w:left w:val="nil"/>
              <w:bottom w:val="single" w:color="auto" w:sz="4" w:space="0"/>
              <w:right w:val="single" w:color="auto" w:sz="8"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有效</w:t>
            </w:r>
          </w:p>
        </w:tc>
      </w:tr>
      <w:tr>
        <w:tblPrEx>
          <w:tblCellMar>
            <w:top w:w="0" w:type="dxa"/>
            <w:left w:w="108" w:type="dxa"/>
            <w:bottom w:w="0" w:type="dxa"/>
            <w:right w:w="108" w:type="dxa"/>
          </w:tblCellMar>
        </w:tblPrEx>
        <w:trPr>
          <w:trHeight w:val="845" w:hRule="atLeast"/>
          <w:jc w:val="center"/>
        </w:trPr>
        <w:tc>
          <w:tcPr>
            <w:tcW w:w="478"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2</w:t>
            </w:r>
          </w:p>
        </w:tc>
        <w:tc>
          <w:tcPr>
            <w:tcW w:w="709"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w:t>
            </w:r>
          </w:p>
        </w:tc>
        <w:tc>
          <w:tcPr>
            <w:tcW w:w="2500" w:type="dxa"/>
            <w:tcBorders>
              <w:top w:val="single" w:color="auto" w:sz="4" w:space="0"/>
              <w:left w:val="nil"/>
              <w:bottom w:val="single" w:color="auto" w:sz="4" w:space="0"/>
              <w:right w:val="single" w:color="auto" w:sz="4" w:space="0"/>
            </w:tcBorders>
          </w:tcPr>
          <w:p>
            <w:pPr>
              <w:widowControl/>
              <w:jc w:val="center"/>
              <w:rPr>
                <w:rFonts w:ascii="宋体" w:hAnsi="宋体"/>
                <w:color w:val="000000"/>
                <w:kern w:val="0"/>
                <w:szCs w:val="21"/>
              </w:rPr>
            </w:pPr>
            <w:r>
              <w:rPr>
                <w:rFonts w:hint="eastAsia" w:ascii="宋体" w:hAnsi="宋体"/>
                <w:color w:val="000000"/>
                <w:kern w:val="0"/>
                <w:szCs w:val="21"/>
              </w:rPr>
              <w:t>高氨氮高有机物玉米深加工废水的处理装置</w:t>
            </w:r>
          </w:p>
        </w:tc>
        <w:tc>
          <w:tcPr>
            <w:tcW w:w="1118"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ZL2016110408529</w:t>
            </w:r>
          </w:p>
        </w:tc>
        <w:tc>
          <w:tcPr>
            <w:tcW w:w="1292" w:type="dxa"/>
            <w:tcBorders>
              <w:top w:val="single" w:color="auto" w:sz="4" w:space="0"/>
              <w:left w:val="single" w:color="auto" w:sz="4"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北京</w:t>
            </w:r>
          </w:p>
          <w:p>
            <w:pPr>
              <w:widowControl/>
              <w:spacing w:line="390" w:lineRule="exact"/>
              <w:jc w:val="center"/>
              <w:rPr>
                <w:rFonts w:ascii="宋体" w:hAnsi="宋体"/>
                <w:color w:val="000000"/>
                <w:kern w:val="0"/>
                <w:szCs w:val="21"/>
              </w:rPr>
            </w:pPr>
            <w:r>
              <w:rPr>
                <w:rFonts w:hint="eastAsia" w:ascii="宋体" w:hAnsi="宋体"/>
                <w:color w:val="000000"/>
                <w:kern w:val="0"/>
                <w:szCs w:val="21"/>
              </w:rPr>
              <w:t>交通大学</w:t>
            </w:r>
          </w:p>
        </w:tc>
        <w:tc>
          <w:tcPr>
            <w:tcW w:w="1469" w:type="dxa"/>
            <w:tcBorders>
              <w:top w:val="single" w:color="auto" w:sz="4" w:space="0"/>
              <w:left w:val="nil"/>
              <w:bottom w:val="single" w:color="auto" w:sz="4" w:space="0"/>
              <w:right w:val="single" w:color="auto" w:sz="4" w:space="0"/>
            </w:tcBorders>
          </w:tcPr>
          <w:p>
            <w:pPr>
              <w:widowControl/>
              <w:jc w:val="center"/>
              <w:rPr>
                <w:rFonts w:hint="eastAsia" w:ascii="宋体" w:hAnsi="宋体"/>
                <w:color w:val="000000"/>
                <w:kern w:val="0"/>
                <w:szCs w:val="21"/>
              </w:rPr>
            </w:pPr>
            <w:r>
              <w:rPr>
                <w:rFonts w:hint="eastAsia" w:ascii="宋体" w:hAnsi="宋体"/>
                <w:color w:val="000000"/>
                <w:kern w:val="0"/>
                <w:szCs w:val="21"/>
              </w:rPr>
              <w:t xml:space="preserve">姚宏 </w:t>
            </w:r>
          </w:p>
          <w:p>
            <w:pPr>
              <w:widowControl/>
              <w:jc w:val="center"/>
              <w:rPr>
                <w:rFonts w:ascii="宋体" w:hAnsi="宋体"/>
                <w:color w:val="000000"/>
                <w:kern w:val="0"/>
                <w:szCs w:val="21"/>
              </w:rPr>
            </w:pPr>
            <w:r>
              <w:rPr>
                <w:rFonts w:hint="eastAsia" w:ascii="宋体" w:hAnsi="宋体"/>
                <w:color w:val="000000"/>
                <w:kern w:val="0"/>
                <w:szCs w:val="21"/>
              </w:rPr>
              <w:t xml:space="preserve">左陆坤 </w:t>
            </w:r>
          </w:p>
          <w:p>
            <w:pPr>
              <w:widowControl/>
              <w:jc w:val="center"/>
              <w:rPr>
                <w:rFonts w:ascii="宋体" w:hAnsi="宋体"/>
                <w:color w:val="000000"/>
                <w:kern w:val="0"/>
                <w:szCs w:val="21"/>
              </w:rPr>
            </w:pPr>
            <w:r>
              <w:rPr>
                <w:rFonts w:hint="eastAsia" w:ascii="宋体" w:hAnsi="宋体"/>
                <w:color w:val="000000"/>
                <w:kern w:val="0"/>
                <w:szCs w:val="21"/>
              </w:rPr>
              <w:t>杨黎俊</w:t>
            </w:r>
          </w:p>
        </w:tc>
        <w:tc>
          <w:tcPr>
            <w:tcW w:w="709" w:type="dxa"/>
            <w:tcBorders>
              <w:top w:val="single" w:color="auto" w:sz="4" w:space="0"/>
              <w:left w:val="nil"/>
              <w:bottom w:val="single" w:color="auto" w:sz="4" w:space="0"/>
              <w:right w:val="single" w:color="auto" w:sz="8"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有效</w:t>
            </w:r>
          </w:p>
        </w:tc>
      </w:tr>
      <w:tr>
        <w:trPr>
          <w:trHeight w:val="798" w:hRule="atLeast"/>
          <w:jc w:val="center"/>
        </w:trPr>
        <w:tc>
          <w:tcPr>
            <w:tcW w:w="478"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3</w:t>
            </w:r>
          </w:p>
        </w:tc>
        <w:tc>
          <w:tcPr>
            <w:tcW w:w="709"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w:t>
            </w:r>
          </w:p>
        </w:tc>
        <w:tc>
          <w:tcPr>
            <w:tcW w:w="2500"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一种高盐分高氨氮制药污水的处理工艺及处理装置</w:t>
            </w:r>
          </w:p>
        </w:tc>
        <w:tc>
          <w:tcPr>
            <w:tcW w:w="1118"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ZL201210295894.2</w:t>
            </w:r>
          </w:p>
        </w:tc>
        <w:tc>
          <w:tcPr>
            <w:tcW w:w="1292" w:type="dxa"/>
            <w:tcBorders>
              <w:top w:val="single" w:color="auto" w:sz="4" w:space="0"/>
              <w:left w:val="single" w:color="auto" w:sz="4" w:space="0"/>
              <w:bottom w:val="single" w:color="auto" w:sz="4" w:space="0"/>
              <w:right w:val="single" w:color="auto" w:sz="4" w:space="0"/>
            </w:tcBorders>
          </w:tcPr>
          <w:p>
            <w:pPr>
              <w:widowControl/>
              <w:spacing w:line="390" w:lineRule="exact"/>
              <w:jc w:val="center"/>
              <w:rPr>
                <w:rFonts w:hint="eastAsia" w:ascii="宋体" w:hAnsi="宋体"/>
                <w:color w:val="000000"/>
                <w:kern w:val="0"/>
                <w:szCs w:val="21"/>
              </w:rPr>
            </w:pPr>
            <w:r>
              <w:rPr>
                <w:rFonts w:hint="eastAsia" w:ascii="宋体" w:hAnsi="宋体"/>
                <w:color w:val="000000"/>
                <w:kern w:val="0"/>
                <w:szCs w:val="21"/>
              </w:rPr>
              <w:t>北京</w:t>
            </w:r>
          </w:p>
          <w:p>
            <w:pPr>
              <w:widowControl/>
              <w:spacing w:line="390" w:lineRule="exact"/>
              <w:jc w:val="center"/>
              <w:rPr>
                <w:rFonts w:ascii="宋体" w:hAnsi="宋体"/>
                <w:color w:val="000000"/>
                <w:kern w:val="0"/>
                <w:szCs w:val="21"/>
              </w:rPr>
            </w:pPr>
            <w:r>
              <w:rPr>
                <w:rFonts w:hint="eastAsia" w:ascii="宋体" w:hAnsi="宋体"/>
                <w:color w:val="000000"/>
                <w:kern w:val="0"/>
                <w:szCs w:val="21"/>
              </w:rPr>
              <w:t>交通大学</w:t>
            </w:r>
          </w:p>
        </w:tc>
        <w:tc>
          <w:tcPr>
            <w:tcW w:w="1469"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姚宏 王玉凯 许建民 田盛</w:t>
            </w:r>
          </w:p>
        </w:tc>
        <w:tc>
          <w:tcPr>
            <w:tcW w:w="709" w:type="dxa"/>
            <w:tcBorders>
              <w:top w:val="single" w:color="auto" w:sz="4" w:space="0"/>
              <w:left w:val="nil"/>
              <w:bottom w:val="single" w:color="auto" w:sz="4" w:space="0"/>
              <w:right w:val="single" w:color="auto" w:sz="8"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有效</w:t>
            </w:r>
          </w:p>
        </w:tc>
      </w:tr>
      <w:tr>
        <w:tblPrEx>
          <w:tblCellMar>
            <w:top w:w="0" w:type="dxa"/>
            <w:left w:w="108" w:type="dxa"/>
            <w:bottom w:w="0" w:type="dxa"/>
            <w:right w:w="108" w:type="dxa"/>
          </w:tblCellMar>
        </w:tblPrEx>
        <w:trPr>
          <w:trHeight w:val="611" w:hRule="atLeast"/>
          <w:jc w:val="center"/>
        </w:trPr>
        <w:tc>
          <w:tcPr>
            <w:tcW w:w="478"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4</w:t>
            </w:r>
          </w:p>
        </w:tc>
        <w:tc>
          <w:tcPr>
            <w:tcW w:w="709"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w:t>
            </w:r>
          </w:p>
        </w:tc>
        <w:tc>
          <w:tcPr>
            <w:tcW w:w="2500"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一种同步短程硝化与生物膜式厌氧氨氧化的方法及装置</w:t>
            </w:r>
          </w:p>
        </w:tc>
        <w:tc>
          <w:tcPr>
            <w:tcW w:w="1118"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ZL201310093431.2</w:t>
            </w:r>
          </w:p>
        </w:tc>
        <w:tc>
          <w:tcPr>
            <w:tcW w:w="1292" w:type="dxa"/>
            <w:tcBorders>
              <w:top w:val="single" w:color="auto" w:sz="4" w:space="0"/>
              <w:left w:val="single" w:color="auto" w:sz="4" w:space="0"/>
              <w:bottom w:val="single" w:color="auto" w:sz="4" w:space="0"/>
              <w:right w:val="single" w:color="auto" w:sz="4" w:space="0"/>
            </w:tcBorders>
          </w:tcPr>
          <w:p>
            <w:pPr>
              <w:widowControl/>
              <w:spacing w:line="390" w:lineRule="exact"/>
              <w:jc w:val="center"/>
              <w:rPr>
                <w:rFonts w:hint="eastAsia" w:ascii="宋体" w:hAnsi="宋体"/>
                <w:color w:val="000000"/>
                <w:kern w:val="0"/>
                <w:szCs w:val="21"/>
              </w:rPr>
            </w:pPr>
            <w:r>
              <w:rPr>
                <w:rFonts w:hint="eastAsia" w:ascii="宋体" w:hAnsi="宋体"/>
                <w:color w:val="000000"/>
                <w:kern w:val="0"/>
                <w:szCs w:val="21"/>
              </w:rPr>
              <w:t>北京</w:t>
            </w:r>
          </w:p>
          <w:p>
            <w:pPr>
              <w:widowControl/>
              <w:spacing w:line="390" w:lineRule="exact"/>
              <w:jc w:val="center"/>
              <w:rPr>
                <w:rFonts w:ascii="宋体" w:hAnsi="宋体"/>
                <w:color w:val="000000"/>
                <w:kern w:val="0"/>
                <w:szCs w:val="21"/>
              </w:rPr>
            </w:pPr>
            <w:r>
              <w:rPr>
                <w:rFonts w:hint="eastAsia" w:ascii="宋体" w:hAnsi="宋体"/>
                <w:color w:val="000000"/>
                <w:kern w:val="0"/>
                <w:szCs w:val="21"/>
              </w:rPr>
              <w:t>交通大学</w:t>
            </w:r>
          </w:p>
        </w:tc>
        <w:tc>
          <w:tcPr>
            <w:tcW w:w="1469"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 xml:space="preserve">姚宏 田盛 </w:t>
            </w:r>
          </w:p>
          <w:p>
            <w:pPr>
              <w:widowControl/>
              <w:spacing w:line="390" w:lineRule="exact"/>
              <w:jc w:val="center"/>
              <w:rPr>
                <w:rFonts w:hint="eastAsia" w:ascii="宋体" w:hAnsi="宋体"/>
                <w:color w:val="000000"/>
                <w:kern w:val="0"/>
                <w:szCs w:val="21"/>
              </w:rPr>
            </w:pPr>
            <w:r>
              <w:rPr>
                <w:rFonts w:hint="eastAsia" w:ascii="宋体" w:hAnsi="宋体"/>
                <w:color w:val="000000"/>
                <w:kern w:val="0"/>
                <w:szCs w:val="21"/>
              </w:rPr>
              <w:t xml:space="preserve">王珏楷 </w:t>
            </w:r>
          </w:p>
          <w:p>
            <w:pPr>
              <w:widowControl/>
              <w:spacing w:line="390" w:lineRule="exact"/>
              <w:jc w:val="center"/>
              <w:rPr>
                <w:rFonts w:ascii="宋体" w:hAnsi="宋体"/>
                <w:color w:val="000000"/>
                <w:kern w:val="0"/>
                <w:szCs w:val="21"/>
              </w:rPr>
            </w:pPr>
            <w:r>
              <w:rPr>
                <w:rFonts w:hint="eastAsia" w:ascii="宋体" w:hAnsi="宋体"/>
                <w:color w:val="000000"/>
                <w:kern w:val="0"/>
                <w:szCs w:val="21"/>
              </w:rPr>
              <w:t xml:space="preserve">左陆珅 </w:t>
            </w:r>
          </w:p>
        </w:tc>
        <w:tc>
          <w:tcPr>
            <w:tcW w:w="709" w:type="dxa"/>
            <w:tcBorders>
              <w:top w:val="single" w:color="auto" w:sz="4" w:space="0"/>
              <w:left w:val="nil"/>
              <w:bottom w:val="single" w:color="auto" w:sz="4" w:space="0"/>
              <w:right w:val="single" w:color="auto" w:sz="8"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有效</w:t>
            </w:r>
          </w:p>
        </w:tc>
      </w:tr>
      <w:tr>
        <w:tblPrEx>
          <w:tblCellMar>
            <w:top w:w="0" w:type="dxa"/>
            <w:left w:w="108" w:type="dxa"/>
            <w:bottom w:w="0" w:type="dxa"/>
            <w:right w:w="108" w:type="dxa"/>
          </w:tblCellMar>
        </w:tblPrEx>
        <w:trPr>
          <w:trHeight w:val="436" w:hRule="atLeast"/>
          <w:jc w:val="center"/>
        </w:trPr>
        <w:tc>
          <w:tcPr>
            <w:tcW w:w="478"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5</w:t>
            </w:r>
          </w:p>
        </w:tc>
        <w:tc>
          <w:tcPr>
            <w:tcW w:w="709"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w:t>
            </w:r>
          </w:p>
        </w:tc>
        <w:tc>
          <w:tcPr>
            <w:tcW w:w="2500"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一种气体循环搅拌式厌氧菌培养驯化装置及方法</w:t>
            </w:r>
          </w:p>
        </w:tc>
        <w:tc>
          <w:tcPr>
            <w:tcW w:w="1118"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ZL201610064892.0</w:t>
            </w:r>
          </w:p>
        </w:tc>
        <w:tc>
          <w:tcPr>
            <w:tcW w:w="1292" w:type="dxa"/>
            <w:tcBorders>
              <w:top w:val="single" w:color="auto" w:sz="4" w:space="0"/>
              <w:left w:val="single" w:color="auto" w:sz="4" w:space="0"/>
              <w:bottom w:val="single" w:color="auto" w:sz="4" w:space="0"/>
              <w:right w:val="single" w:color="auto" w:sz="4" w:space="0"/>
            </w:tcBorders>
          </w:tcPr>
          <w:p>
            <w:pPr>
              <w:widowControl/>
              <w:spacing w:line="390" w:lineRule="exact"/>
              <w:jc w:val="center"/>
              <w:rPr>
                <w:rFonts w:hint="eastAsia" w:ascii="宋体" w:hAnsi="宋体"/>
                <w:color w:val="000000"/>
                <w:kern w:val="0"/>
                <w:szCs w:val="21"/>
              </w:rPr>
            </w:pPr>
            <w:r>
              <w:rPr>
                <w:rFonts w:hint="eastAsia" w:ascii="宋体" w:hAnsi="宋体"/>
                <w:color w:val="000000"/>
                <w:kern w:val="0"/>
                <w:szCs w:val="21"/>
              </w:rPr>
              <w:t>北京</w:t>
            </w:r>
          </w:p>
          <w:p>
            <w:pPr>
              <w:widowControl/>
              <w:spacing w:line="390" w:lineRule="exact"/>
              <w:jc w:val="center"/>
              <w:rPr>
                <w:rFonts w:ascii="宋体" w:hAnsi="宋体"/>
                <w:color w:val="000000"/>
                <w:kern w:val="0"/>
                <w:szCs w:val="21"/>
              </w:rPr>
            </w:pPr>
            <w:r>
              <w:rPr>
                <w:rFonts w:hint="eastAsia" w:ascii="宋体" w:hAnsi="宋体"/>
                <w:color w:val="000000"/>
                <w:kern w:val="0"/>
                <w:szCs w:val="21"/>
              </w:rPr>
              <w:t>交通大学</w:t>
            </w:r>
          </w:p>
        </w:tc>
        <w:tc>
          <w:tcPr>
            <w:tcW w:w="1469"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 xml:space="preserve">姚宏 马金元 </w:t>
            </w:r>
          </w:p>
          <w:p>
            <w:pPr>
              <w:widowControl/>
              <w:spacing w:line="390" w:lineRule="exact"/>
              <w:jc w:val="center"/>
              <w:rPr>
                <w:rFonts w:ascii="宋体" w:hAnsi="宋体"/>
                <w:color w:val="000000"/>
                <w:kern w:val="0"/>
                <w:szCs w:val="21"/>
              </w:rPr>
            </w:pPr>
            <w:r>
              <w:rPr>
                <w:rFonts w:hint="eastAsia" w:ascii="宋体" w:hAnsi="宋体"/>
                <w:color w:val="000000"/>
                <w:kern w:val="0"/>
                <w:szCs w:val="21"/>
              </w:rPr>
              <w:t>于海琴</w:t>
            </w:r>
          </w:p>
        </w:tc>
        <w:tc>
          <w:tcPr>
            <w:tcW w:w="709" w:type="dxa"/>
            <w:tcBorders>
              <w:top w:val="single" w:color="auto" w:sz="4" w:space="0"/>
              <w:left w:val="nil"/>
              <w:bottom w:val="single" w:color="auto" w:sz="4" w:space="0"/>
              <w:right w:val="single" w:color="auto" w:sz="8"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有效</w:t>
            </w:r>
          </w:p>
        </w:tc>
      </w:tr>
      <w:tr>
        <w:tblPrEx>
          <w:tblCellMar>
            <w:top w:w="0" w:type="dxa"/>
            <w:left w:w="108" w:type="dxa"/>
            <w:bottom w:w="0" w:type="dxa"/>
            <w:right w:w="108" w:type="dxa"/>
          </w:tblCellMar>
        </w:tblPrEx>
        <w:trPr>
          <w:trHeight w:val="436" w:hRule="atLeast"/>
          <w:jc w:val="center"/>
        </w:trPr>
        <w:tc>
          <w:tcPr>
            <w:tcW w:w="478"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6</w:t>
            </w:r>
          </w:p>
        </w:tc>
        <w:tc>
          <w:tcPr>
            <w:tcW w:w="709"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w:t>
            </w:r>
          </w:p>
        </w:tc>
        <w:tc>
          <w:tcPr>
            <w:tcW w:w="2500"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一种快速富集脱氮功能菌的填料装置</w:t>
            </w:r>
          </w:p>
        </w:tc>
        <w:tc>
          <w:tcPr>
            <w:tcW w:w="1118"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ZL202021113533.8</w:t>
            </w:r>
          </w:p>
        </w:tc>
        <w:tc>
          <w:tcPr>
            <w:tcW w:w="1292" w:type="dxa"/>
            <w:tcBorders>
              <w:top w:val="single" w:color="auto" w:sz="4" w:space="0"/>
              <w:left w:val="single" w:color="auto" w:sz="4"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北京坦思环保科技有限公司</w:t>
            </w:r>
          </w:p>
        </w:tc>
        <w:tc>
          <w:tcPr>
            <w:tcW w:w="1469"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杨岸明 田盛</w:t>
            </w:r>
          </w:p>
        </w:tc>
        <w:tc>
          <w:tcPr>
            <w:tcW w:w="709" w:type="dxa"/>
            <w:tcBorders>
              <w:top w:val="single" w:color="auto" w:sz="4" w:space="0"/>
              <w:left w:val="nil"/>
              <w:bottom w:val="single" w:color="auto" w:sz="4" w:space="0"/>
              <w:right w:val="single" w:color="auto" w:sz="8"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有效</w:t>
            </w:r>
          </w:p>
        </w:tc>
      </w:tr>
      <w:tr>
        <w:tblPrEx>
          <w:tblCellMar>
            <w:top w:w="0" w:type="dxa"/>
            <w:left w:w="108" w:type="dxa"/>
            <w:bottom w:w="0" w:type="dxa"/>
            <w:right w:w="108" w:type="dxa"/>
          </w:tblCellMar>
        </w:tblPrEx>
        <w:trPr>
          <w:trHeight w:val="867" w:hRule="atLeast"/>
          <w:jc w:val="center"/>
        </w:trPr>
        <w:tc>
          <w:tcPr>
            <w:tcW w:w="478"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7</w:t>
            </w:r>
          </w:p>
        </w:tc>
        <w:tc>
          <w:tcPr>
            <w:tcW w:w="709"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w:t>
            </w:r>
          </w:p>
        </w:tc>
        <w:tc>
          <w:tcPr>
            <w:tcW w:w="2500"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基于硫循环的自养与异养耦合污水深度脱氮装置与方法</w:t>
            </w:r>
          </w:p>
        </w:tc>
        <w:tc>
          <w:tcPr>
            <w:tcW w:w="1118"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ZL202010279341.2</w:t>
            </w:r>
          </w:p>
        </w:tc>
        <w:tc>
          <w:tcPr>
            <w:tcW w:w="1292" w:type="dxa"/>
            <w:tcBorders>
              <w:top w:val="single" w:color="auto" w:sz="4" w:space="0"/>
              <w:left w:val="single" w:color="auto" w:sz="4" w:space="0"/>
              <w:bottom w:val="single" w:color="auto" w:sz="4" w:space="0"/>
              <w:right w:val="single" w:color="auto" w:sz="4" w:space="0"/>
            </w:tcBorders>
          </w:tcPr>
          <w:p>
            <w:pPr>
              <w:widowControl/>
              <w:spacing w:line="390" w:lineRule="exact"/>
              <w:jc w:val="center"/>
              <w:rPr>
                <w:rFonts w:hint="eastAsia" w:ascii="宋体" w:hAnsi="宋体"/>
                <w:color w:val="000000"/>
                <w:kern w:val="0"/>
                <w:szCs w:val="21"/>
              </w:rPr>
            </w:pPr>
            <w:r>
              <w:rPr>
                <w:rFonts w:hint="eastAsia" w:ascii="宋体" w:hAnsi="宋体"/>
                <w:color w:val="000000"/>
                <w:kern w:val="0"/>
                <w:szCs w:val="21"/>
              </w:rPr>
              <w:t>北京</w:t>
            </w:r>
          </w:p>
          <w:p>
            <w:pPr>
              <w:widowControl/>
              <w:spacing w:line="390" w:lineRule="exact"/>
              <w:jc w:val="center"/>
              <w:rPr>
                <w:rFonts w:ascii="宋体" w:hAnsi="宋体"/>
                <w:color w:val="000000"/>
                <w:kern w:val="0"/>
                <w:szCs w:val="21"/>
              </w:rPr>
            </w:pPr>
            <w:r>
              <w:rPr>
                <w:rFonts w:hint="eastAsia" w:ascii="宋体" w:hAnsi="宋体"/>
                <w:color w:val="000000"/>
                <w:kern w:val="0"/>
                <w:szCs w:val="21"/>
              </w:rPr>
              <w:t>交通大学</w:t>
            </w:r>
          </w:p>
        </w:tc>
        <w:tc>
          <w:tcPr>
            <w:tcW w:w="1469"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 xml:space="preserve">姚宏 杨岸明 </w:t>
            </w:r>
          </w:p>
          <w:p>
            <w:pPr>
              <w:widowControl/>
              <w:spacing w:line="390" w:lineRule="exact"/>
              <w:jc w:val="center"/>
              <w:rPr>
                <w:rFonts w:ascii="宋体" w:hAnsi="宋体"/>
                <w:color w:val="000000"/>
                <w:kern w:val="0"/>
                <w:szCs w:val="21"/>
              </w:rPr>
            </w:pPr>
            <w:r>
              <w:rPr>
                <w:rFonts w:hint="eastAsia" w:ascii="宋体" w:hAnsi="宋体"/>
                <w:color w:val="000000"/>
                <w:kern w:val="0"/>
                <w:szCs w:val="21"/>
              </w:rPr>
              <w:t>田盛</w:t>
            </w:r>
          </w:p>
        </w:tc>
        <w:tc>
          <w:tcPr>
            <w:tcW w:w="709" w:type="dxa"/>
            <w:tcBorders>
              <w:top w:val="single" w:color="auto" w:sz="4" w:space="0"/>
              <w:left w:val="nil"/>
              <w:bottom w:val="single" w:color="auto" w:sz="4" w:space="0"/>
              <w:right w:val="single" w:color="auto" w:sz="8"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有效</w:t>
            </w:r>
          </w:p>
        </w:tc>
      </w:tr>
      <w:tr>
        <w:tblPrEx>
          <w:tblCellMar>
            <w:top w:w="0" w:type="dxa"/>
            <w:left w:w="108" w:type="dxa"/>
            <w:bottom w:w="0" w:type="dxa"/>
            <w:right w:w="108" w:type="dxa"/>
          </w:tblCellMar>
        </w:tblPrEx>
        <w:trPr>
          <w:trHeight w:val="436" w:hRule="atLeast"/>
          <w:jc w:val="center"/>
        </w:trPr>
        <w:tc>
          <w:tcPr>
            <w:tcW w:w="478"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8</w:t>
            </w:r>
          </w:p>
        </w:tc>
        <w:tc>
          <w:tcPr>
            <w:tcW w:w="709"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w:t>
            </w:r>
          </w:p>
        </w:tc>
        <w:tc>
          <w:tcPr>
            <w:tcW w:w="2500"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一种利用微曝气生物膜脱氮除碳的装置</w:t>
            </w:r>
          </w:p>
        </w:tc>
        <w:tc>
          <w:tcPr>
            <w:tcW w:w="1118"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ZL202120283742.5</w:t>
            </w:r>
          </w:p>
        </w:tc>
        <w:tc>
          <w:tcPr>
            <w:tcW w:w="1292" w:type="dxa"/>
            <w:tcBorders>
              <w:top w:val="single" w:color="auto" w:sz="4" w:space="0"/>
              <w:left w:val="single" w:color="auto" w:sz="4" w:space="0"/>
              <w:bottom w:val="single" w:color="auto" w:sz="4" w:space="0"/>
              <w:right w:val="single" w:color="auto" w:sz="4" w:space="0"/>
            </w:tcBorders>
          </w:tcPr>
          <w:p>
            <w:pPr>
              <w:widowControl/>
              <w:spacing w:line="390" w:lineRule="exact"/>
              <w:jc w:val="center"/>
              <w:rPr>
                <w:rFonts w:hint="eastAsia" w:ascii="宋体" w:hAnsi="宋体"/>
                <w:color w:val="000000"/>
                <w:kern w:val="0"/>
                <w:szCs w:val="21"/>
              </w:rPr>
            </w:pPr>
            <w:r>
              <w:rPr>
                <w:rFonts w:hint="eastAsia" w:ascii="宋体" w:hAnsi="宋体"/>
                <w:color w:val="000000"/>
                <w:kern w:val="0"/>
                <w:szCs w:val="21"/>
              </w:rPr>
              <w:t>北京</w:t>
            </w:r>
          </w:p>
          <w:p>
            <w:pPr>
              <w:widowControl/>
              <w:spacing w:line="390" w:lineRule="exact"/>
              <w:jc w:val="center"/>
              <w:rPr>
                <w:rFonts w:ascii="宋体" w:hAnsi="宋体"/>
                <w:color w:val="000000"/>
                <w:kern w:val="0"/>
                <w:szCs w:val="21"/>
              </w:rPr>
            </w:pPr>
            <w:r>
              <w:rPr>
                <w:rFonts w:hint="eastAsia" w:ascii="宋体" w:hAnsi="宋体"/>
                <w:color w:val="000000"/>
                <w:kern w:val="0"/>
                <w:szCs w:val="21"/>
              </w:rPr>
              <w:t>交通大学</w:t>
            </w:r>
          </w:p>
        </w:tc>
        <w:tc>
          <w:tcPr>
            <w:tcW w:w="1469"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姚宏 田盛</w:t>
            </w:r>
          </w:p>
          <w:p>
            <w:pPr>
              <w:widowControl/>
              <w:spacing w:line="390" w:lineRule="exact"/>
              <w:jc w:val="center"/>
              <w:rPr>
                <w:rFonts w:ascii="宋体" w:hAnsi="宋体"/>
                <w:color w:val="000000"/>
                <w:kern w:val="0"/>
                <w:szCs w:val="21"/>
              </w:rPr>
            </w:pPr>
            <w:r>
              <w:rPr>
                <w:rFonts w:hint="eastAsia" w:ascii="宋体" w:hAnsi="宋体"/>
                <w:color w:val="000000"/>
                <w:kern w:val="0"/>
                <w:szCs w:val="21"/>
              </w:rPr>
              <w:t>左陆珅</w:t>
            </w:r>
          </w:p>
        </w:tc>
        <w:tc>
          <w:tcPr>
            <w:tcW w:w="709" w:type="dxa"/>
            <w:tcBorders>
              <w:top w:val="single" w:color="auto" w:sz="4" w:space="0"/>
              <w:left w:val="nil"/>
              <w:bottom w:val="single" w:color="auto" w:sz="4" w:space="0"/>
              <w:right w:val="single" w:color="auto" w:sz="8"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有效</w:t>
            </w:r>
          </w:p>
        </w:tc>
      </w:tr>
      <w:tr>
        <w:trPr>
          <w:trHeight w:val="611" w:hRule="atLeast"/>
          <w:jc w:val="center"/>
        </w:trPr>
        <w:tc>
          <w:tcPr>
            <w:tcW w:w="478"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9</w:t>
            </w:r>
          </w:p>
        </w:tc>
        <w:tc>
          <w:tcPr>
            <w:tcW w:w="709"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w:t>
            </w:r>
          </w:p>
        </w:tc>
        <w:tc>
          <w:tcPr>
            <w:tcW w:w="2500"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厌氧氨氧化菌生物脱硝方法</w:t>
            </w:r>
          </w:p>
        </w:tc>
        <w:tc>
          <w:tcPr>
            <w:tcW w:w="1118"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ZL201610815205.4</w:t>
            </w:r>
          </w:p>
        </w:tc>
        <w:tc>
          <w:tcPr>
            <w:tcW w:w="1292" w:type="dxa"/>
            <w:tcBorders>
              <w:top w:val="single" w:color="auto" w:sz="4" w:space="0"/>
              <w:left w:val="single" w:color="auto" w:sz="4" w:space="0"/>
              <w:bottom w:val="single" w:color="auto" w:sz="4" w:space="0"/>
              <w:right w:val="single" w:color="auto" w:sz="4" w:space="0"/>
            </w:tcBorders>
          </w:tcPr>
          <w:p>
            <w:pPr>
              <w:widowControl/>
              <w:spacing w:line="390" w:lineRule="exact"/>
              <w:jc w:val="center"/>
              <w:rPr>
                <w:rFonts w:hint="eastAsia" w:ascii="宋体" w:hAnsi="宋体"/>
                <w:color w:val="000000"/>
                <w:kern w:val="0"/>
                <w:szCs w:val="21"/>
              </w:rPr>
            </w:pPr>
            <w:r>
              <w:rPr>
                <w:rFonts w:hint="eastAsia" w:ascii="宋体" w:hAnsi="宋体"/>
                <w:color w:val="000000"/>
                <w:kern w:val="0"/>
                <w:szCs w:val="21"/>
              </w:rPr>
              <w:t>北京</w:t>
            </w:r>
          </w:p>
          <w:p>
            <w:pPr>
              <w:widowControl/>
              <w:spacing w:line="390" w:lineRule="exact"/>
              <w:jc w:val="center"/>
              <w:rPr>
                <w:rFonts w:ascii="宋体" w:hAnsi="宋体"/>
                <w:color w:val="000000"/>
                <w:kern w:val="0"/>
                <w:szCs w:val="21"/>
              </w:rPr>
            </w:pPr>
            <w:r>
              <w:rPr>
                <w:rFonts w:hint="eastAsia" w:ascii="宋体" w:hAnsi="宋体"/>
                <w:color w:val="000000"/>
                <w:kern w:val="0"/>
                <w:szCs w:val="21"/>
              </w:rPr>
              <w:t>交通大学</w:t>
            </w:r>
          </w:p>
        </w:tc>
        <w:tc>
          <w:tcPr>
            <w:tcW w:w="1469"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姚宏 马金元</w:t>
            </w:r>
          </w:p>
        </w:tc>
        <w:tc>
          <w:tcPr>
            <w:tcW w:w="709" w:type="dxa"/>
            <w:tcBorders>
              <w:top w:val="single" w:color="auto" w:sz="4" w:space="0"/>
              <w:left w:val="nil"/>
              <w:bottom w:val="single" w:color="auto" w:sz="4" w:space="0"/>
              <w:right w:val="single" w:color="auto" w:sz="8"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有效</w:t>
            </w:r>
          </w:p>
        </w:tc>
      </w:tr>
      <w:tr>
        <w:tblPrEx>
          <w:tblCellMar>
            <w:top w:w="0" w:type="dxa"/>
            <w:left w:w="108" w:type="dxa"/>
            <w:bottom w:w="0" w:type="dxa"/>
            <w:right w:w="108" w:type="dxa"/>
          </w:tblCellMar>
        </w:tblPrEx>
        <w:trPr>
          <w:trHeight w:val="817" w:hRule="atLeast"/>
          <w:jc w:val="center"/>
        </w:trPr>
        <w:tc>
          <w:tcPr>
            <w:tcW w:w="478"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10</w:t>
            </w:r>
          </w:p>
        </w:tc>
        <w:tc>
          <w:tcPr>
            <w:tcW w:w="709" w:type="dxa"/>
            <w:tcBorders>
              <w:top w:val="single" w:color="auto" w:sz="4" w:space="0"/>
              <w:left w:val="single" w:color="auto" w:sz="8"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专利</w:t>
            </w:r>
          </w:p>
        </w:tc>
        <w:tc>
          <w:tcPr>
            <w:tcW w:w="2500"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厌氧产甲烷厌氧氨氧化联合处理大豆蛋白废水装置及方法</w:t>
            </w:r>
          </w:p>
        </w:tc>
        <w:tc>
          <w:tcPr>
            <w:tcW w:w="1118"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ZL201410454215.0</w:t>
            </w:r>
          </w:p>
        </w:tc>
        <w:tc>
          <w:tcPr>
            <w:tcW w:w="1292" w:type="dxa"/>
            <w:tcBorders>
              <w:top w:val="single" w:color="auto" w:sz="4" w:space="0"/>
              <w:left w:val="single" w:color="auto" w:sz="4" w:space="0"/>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北京坦思环保科技有限公司</w:t>
            </w:r>
          </w:p>
        </w:tc>
        <w:tc>
          <w:tcPr>
            <w:tcW w:w="1469" w:type="dxa"/>
            <w:tcBorders>
              <w:top w:val="single" w:color="auto" w:sz="4" w:space="0"/>
              <w:left w:val="nil"/>
              <w:bottom w:val="single" w:color="auto" w:sz="4" w:space="0"/>
              <w:right w:val="single" w:color="auto" w:sz="4"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田盛</w:t>
            </w:r>
          </w:p>
        </w:tc>
        <w:tc>
          <w:tcPr>
            <w:tcW w:w="709" w:type="dxa"/>
            <w:tcBorders>
              <w:top w:val="single" w:color="auto" w:sz="4" w:space="0"/>
              <w:left w:val="nil"/>
              <w:bottom w:val="single" w:color="auto" w:sz="4" w:space="0"/>
              <w:right w:val="single" w:color="auto" w:sz="8" w:space="0"/>
            </w:tcBorders>
          </w:tcPr>
          <w:p>
            <w:pPr>
              <w:widowControl/>
              <w:spacing w:line="390" w:lineRule="exact"/>
              <w:jc w:val="center"/>
              <w:rPr>
                <w:rFonts w:ascii="宋体" w:hAnsi="宋体"/>
                <w:color w:val="000000"/>
                <w:kern w:val="0"/>
                <w:szCs w:val="21"/>
              </w:rPr>
            </w:pPr>
            <w:r>
              <w:rPr>
                <w:rFonts w:hint="eastAsia" w:ascii="宋体" w:hAnsi="宋体"/>
                <w:color w:val="000000"/>
                <w:kern w:val="0"/>
                <w:szCs w:val="21"/>
              </w:rPr>
              <w:t>有效</w:t>
            </w:r>
          </w:p>
        </w:tc>
      </w:tr>
    </w:tbl>
    <w:p>
      <w:pPr>
        <w:pStyle w:val="22"/>
        <w:numPr>
          <w:ilvl w:val="0"/>
          <w:numId w:val="1"/>
        </w:numPr>
        <w:spacing w:line="360" w:lineRule="auto"/>
        <w:ind w:firstLineChars="0"/>
        <w:rPr>
          <w:rFonts w:ascii="宋体" w:hAnsi="宋体"/>
          <w:b/>
          <w:sz w:val="28"/>
          <w:szCs w:val="28"/>
        </w:rPr>
      </w:pPr>
      <w:r>
        <w:rPr>
          <w:rFonts w:hint="eastAsia" w:ascii="宋体" w:hAnsi="宋体"/>
          <w:b/>
          <w:sz w:val="28"/>
          <w:szCs w:val="28"/>
        </w:rPr>
        <w:t>成果创新点</w:t>
      </w:r>
    </w:p>
    <w:p>
      <w:pPr>
        <w:pStyle w:val="5"/>
        <w:spacing w:line="440" w:lineRule="exact"/>
        <w:ind w:firstLine="482"/>
        <w:rPr>
          <w:rFonts w:hint="eastAsia" w:ascii="宋体" w:hAnsi="宋体" w:cstheme="minorEastAsia"/>
          <w:b/>
          <w:bCs/>
          <w:color w:val="000000" w:themeColor="text1"/>
          <w:sz w:val="24"/>
          <w14:textFill>
            <w14:solidFill>
              <w14:schemeClr w14:val="tx1"/>
            </w14:solidFill>
          </w14:textFill>
        </w:rPr>
      </w:pPr>
      <w:r>
        <w:rPr>
          <w:rFonts w:hint="eastAsia" w:ascii="宋体" w:hAnsi="宋体" w:cstheme="minorEastAsia"/>
          <w:b/>
          <w:bCs/>
          <w:color w:val="000000" w:themeColor="text1"/>
          <w:sz w:val="24"/>
          <w14:textFill>
            <w14:solidFill>
              <w14:schemeClr w14:val="tx1"/>
            </w14:solidFill>
          </w14:textFill>
        </w:rPr>
        <w:t>(1）构建基于废水脱毒-微生物抗毒、解毒的功能菌种活性强化技术体系。</w:t>
      </w:r>
    </w:p>
    <w:p>
      <w:pPr>
        <w:spacing w:line="360" w:lineRule="auto"/>
        <w:ind w:firstLine="480" w:firstLineChars="200"/>
        <w:rPr>
          <w:rFonts w:hint="eastAsia"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针对高氨氮废水毒性物质对厌氧氨氧化微生物活性抑制的难题，开发基于毒性物质厌氧分解及污泥吸附的废水脱毒预处理技术、基于微量元素的“营养剂”的功能菌种的抗毒技术、基于外源中间产物的功能菌种活性快速恢复技术，构建了厌氧氨氧化菌活性提高和维持、抗抑制能力增强和快速激活的新体系，解决了工程应用中功能菌活性强化的技术难题。</w:t>
      </w:r>
    </w:p>
    <w:p>
      <w:pPr>
        <w:pStyle w:val="5"/>
        <w:spacing w:line="440" w:lineRule="exact"/>
        <w:ind w:firstLine="482"/>
        <w:rPr>
          <w:rFonts w:ascii="宋体" w:hAnsi="宋体" w:cstheme="minorEastAsia"/>
          <w:b/>
          <w:bCs/>
          <w:color w:val="000000" w:themeColor="text1"/>
          <w:sz w:val="24"/>
          <w14:textFill>
            <w14:solidFill>
              <w14:schemeClr w14:val="tx1"/>
            </w14:solidFill>
          </w14:textFill>
        </w:rPr>
      </w:pPr>
      <w:r>
        <w:rPr>
          <w:rFonts w:hint="eastAsia" w:ascii="宋体" w:hAnsi="宋体" w:cstheme="minorEastAsia"/>
          <w:b/>
          <w:bCs/>
          <w:color w:val="000000" w:themeColor="text1"/>
          <w:sz w:val="24"/>
          <w14:textFill>
            <w14:solidFill>
              <w14:schemeClr w14:val="tx1"/>
            </w14:solidFill>
          </w14:textFill>
        </w:rPr>
        <w:t xml:space="preserve"> (2）开发厌氧氨氧化菌种快速富集及高效持留技术，研发新设备。</w:t>
      </w:r>
    </w:p>
    <w:p>
      <w:pPr>
        <w:spacing w:line="360" w:lineRule="auto"/>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针对厌氧氨氧化菌种富集难、易流失的难题，理清厌氧氨氧化菌聚集关键机制，提出强化微生物聚集调控策略，开发了厌氧氨氧化菌高效富集及工艺快速启动技术，研发了功能菌种稳定持留设备及工艺，显著提高了厌氧氨氧化脱氮技术的工艺可行性。</w:t>
      </w:r>
    </w:p>
    <w:p>
      <w:pPr>
        <w:pStyle w:val="5"/>
        <w:spacing w:line="440" w:lineRule="exact"/>
        <w:ind w:firstLine="482"/>
        <w:rPr>
          <w:rFonts w:ascii="宋体" w:hAnsi="宋体" w:cstheme="minorEastAsia"/>
          <w:b/>
          <w:bCs/>
          <w:color w:val="000000" w:themeColor="text1"/>
          <w:sz w:val="24"/>
          <w14:textFill>
            <w14:solidFill>
              <w14:schemeClr w14:val="tx1"/>
            </w14:solidFill>
          </w14:textFill>
        </w:rPr>
      </w:pPr>
      <w:r>
        <w:rPr>
          <w:rFonts w:hint="eastAsia" w:ascii="宋体" w:hAnsi="宋体" w:cstheme="minorEastAsia"/>
          <w:b/>
          <w:bCs/>
          <w:color w:val="000000" w:themeColor="text1"/>
          <w:sz w:val="24"/>
          <w14:textFill>
            <w14:solidFill>
              <w14:schemeClr w14:val="tx1"/>
            </w14:solidFill>
          </w14:textFill>
        </w:rPr>
        <w:t xml:space="preserve"> (3）构建厌氧氨氧化耦合自养反硝化的自养深度脱氮技术体系。</w:t>
      </w:r>
    </w:p>
    <w:p>
      <w:pPr>
        <w:spacing w:line="360" w:lineRule="auto"/>
        <w:ind w:firstLine="480" w:firstLineChars="200"/>
        <w:rPr>
          <w:rFonts w:hint="eastAsia"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针对厌氧氨氧化反应氮素副产物导致的出水TN难达标问题，开发基于外源代谢产物的硝氮产量消减技术，构建基于硫自养反硝化和氢自养反硝化耦合厌氧氨氧化组合的深度脱氮技术体系，并完善基于厌氧氨氧化的工业废水强化脱氮集成工艺，实现出水水质稳定达标。</w:t>
      </w:r>
    </w:p>
    <w:p>
      <w:pPr>
        <w:pStyle w:val="5"/>
        <w:spacing w:line="440" w:lineRule="exact"/>
        <w:ind w:firstLine="482"/>
        <w:rPr>
          <w:rFonts w:hint="eastAsia" w:ascii="宋体" w:hAnsi="宋体" w:cstheme="minorEastAsia"/>
          <w:b/>
          <w:bCs/>
          <w:color w:val="000000" w:themeColor="text1"/>
          <w:sz w:val="24"/>
          <w14:textFill>
            <w14:solidFill>
              <w14:schemeClr w14:val="tx1"/>
            </w14:solidFill>
          </w14:textFill>
        </w:rPr>
      </w:pPr>
      <w:r>
        <w:rPr>
          <w:rFonts w:hint="eastAsia" w:ascii="宋体" w:hAnsi="宋体" w:cstheme="minorEastAsia"/>
          <w:b/>
          <w:bCs/>
          <w:color w:val="000000" w:themeColor="text1"/>
          <w:sz w:val="24"/>
          <w14:textFill>
            <w14:solidFill>
              <w14:schemeClr w14:val="tx1"/>
            </w14:solidFill>
          </w14:textFill>
        </w:rPr>
        <w:t>(4）构建以厌氧氨氧化为核心的高氨氮废水深度脱氮新模式。</w:t>
      </w:r>
    </w:p>
    <w:p>
      <w:pPr>
        <w:spacing w:line="360" w:lineRule="auto"/>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针对我国现有高氨氮废水处理效率低、成本高的现状，基于项目开发了自养深度脱氮新方法及新技术，构建了以厌氧氨氧化技术为核心的高氨氮废水深度脱氮应用新模式，实与传统处理模式相比运行费用降低67%以上，碳排放降低77%以上。相关科技成果在煤化工、制药、稀土、餐厨垃圾等16项污（废）水处理工程中应用，累积投资超13亿元，年净化污（废）水7400余万吨，产生经济效益超1.8亿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24FD0"/>
    <w:multiLevelType w:val="multilevel"/>
    <w:tmpl w:val="1C824FD0"/>
    <w:lvl w:ilvl="0" w:tentative="0">
      <w:start w:val="1"/>
      <w:numFmt w:val="decimal"/>
      <w:lvlText w:val="%1."/>
      <w:lvlJc w:val="left"/>
      <w:pPr>
        <w:ind w:left="360" w:hanging="360"/>
      </w:pPr>
      <w:rPr>
        <w:rFonts w:hint="default" w:ascii="宋体" w:hAnsi="宋体"/>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MjUzMTVjOWM0NDJhZWFmNjhmMjdhYTY3OTc0OTIifQ=="/>
  </w:docVars>
  <w:rsids>
    <w:rsidRoot w:val="00A61B6E"/>
    <w:rsid w:val="00004595"/>
    <w:rsid w:val="00046D6C"/>
    <w:rsid w:val="0006543F"/>
    <w:rsid w:val="0006690C"/>
    <w:rsid w:val="00075F2B"/>
    <w:rsid w:val="000F63AE"/>
    <w:rsid w:val="002458C5"/>
    <w:rsid w:val="00262861"/>
    <w:rsid w:val="00290C35"/>
    <w:rsid w:val="002B2442"/>
    <w:rsid w:val="00306B81"/>
    <w:rsid w:val="00381411"/>
    <w:rsid w:val="00392A72"/>
    <w:rsid w:val="003B0BEF"/>
    <w:rsid w:val="003F18A6"/>
    <w:rsid w:val="003F1B8C"/>
    <w:rsid w:val="004B41E0"/>
    <w:rsid w:val="00505ECF"/>
    <w:rsid w:val="005267C8"/>
    <w:rsid w:val="005A6779"/>
    <w:rsid w:val="005B4584"/>
    <w:rsid w:val="005B7ABB"/>
    <w:rsid w:val="00600258"/>
    <w:rsid w:val="00606EC0"/>
    <w:rsid w:val="00683FD5"/>
    <w:rsid w:val="006842DA"/>
    <w:rsid w:val="006904AD"/>
    <w:rsid w:val="006D00B8"/>
    <w:rsid w:val="006D17F7"/>
    <w:rsid w:val="006E2356"/>
    <w:rsid w:val="0075692E"/>
    <w:rsid w:val="007A78D2"/>
    <w:rsid w:val="00843817"/>
    <w:rsid w:val="0085645E"/>
    <w:rsid w:val="008A4407"/>
    <w:rsid w:val="00915844"/>
    <w:rsid w:val="00930794"/>
    <w:rsid w:val="0095091F"/>
    <w:rsid w:val="00A0194B"/>
    <w:rsid w:val="00A4572F"/>
    <w:rsid w:val="00A50925"/>
    <w:rsid w:val="00A61B6E"/>
    <w:rsid w:val="00AF6CC0"/>
    <w:rsid w:val="00B427D7"/>
    <w:rsid w:val="00B4678C"/>
    <w:rsid w:val="00B47458"/>
    <w:rsid w:val="00B613CE"/>
    <w:rsid w:val="00B954CA"/>
    <w:rsid w:val="00C30299"/>
    <w:rsid w:val="00C32CD9"/>
    <w:rsid w:val="00C5793B"/>
    <w:rsid w:val="00D11F0F"/>
    <w:rsid w:val="00D2088D"/>
    <w:rsid w:val="00D33E6B"/>
    <w:rsid w:val="00D50DDE"/>
    <w:rsid w:val="00D578F7"/>
    <w:rsid w:val="00D87FB0"/>
    <w:rsid w:val="00D97BAC"/>
    <w:rsid w:val="00DA594D"/>
    <w:rsid w:val="00DD53B8"/>
    <w:rsid w:val="00E309F3"/>
    <w:rsid w:val="00E6250E"/>
    <w:rsid w:val="00EB0A5B"/>
    <w:rsid w:val="00EC2D68"/>
    <w:rsid w:val="00F778ED"/>
    <w:rsid w:val="00F82986"/>
    <w:rsid w:val="08725C52"/>
    <w:rsid w:val="0AFB3F46"/>
    <w:rsid w:val="11FC55B2"/>
    <w:rsid w:val="12850115"/>
    <w:rsid w:val="19F85670"/>
    <w:rsid w:val="1E295F38"/>
    <w:rsid w:val="24044891"/>
    <w:rsid w:val="29CA4E9B"/>
    <w:rsid w:val="2A693A20"/>
    <w:rsid w:val="2B321057"/>
    <w:rsid w:val="34620C30"/>
    <w:rsid w:val="36543529"/>
    <w:rsid w:val="38351B40"/>
    <w:rsid w:val="40453D92"/>
    <w:rsid w:val="48B93350"/>
    <w:rsid w:val="4A8304E5"/>
    <w:rsid w:val="4E76772F"/>
    <w:rsid w:val="5896749A"/>
    <w:rsid w:val="5D417D61"/>
    <w:rsid w:val="7C7C270C"/>
    <w:rsid w:val="7CD8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Plain Text"/>
    <w:basedOn w:val="1"/>
    <w:qFormat/>
    <w:uiPriority w:val="0"/>
    <w:pPr>
      <w:spacing w:line="360" w:lineRule="auto"/>
      <w:ind w:firstLine="480" w:firstLineChars="200"/>
    </w:pPr>
    <w:rPr>
      <w:rFonts w:ascii="仿宋_GB2312"/>
    </w:r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0"/>
    <w:rPr>
      <w:color w:val="666666"/>
      <w:u w:val="none"/>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标题 3 Char"/>
    <w:basedOn w:val="12"/>
    <w:link w:val="3"/>
    <w:semiHidden/>
    <w:qFormat/>
    <w:uiPriority w:val="9"/>
    <w:rPr>
      <w:rFonts w:ascii="Times New Roman" w:hAnsi="Times New Roman" w:eastAsia="宋体" w:cs="Times New Roman"/>
      <w:b/>
      <w:bCs/>
      <w:sz w:val="32"/>
      <w:szCs w:val="32"/>
    </w:rPr>
  </w:style>
  <w:style w:type="character" w:customStyle="1" w:styleId="18">
    <w:name w:val="批注文字 Char"/>
    <w:basedOn w:val="12"/>
    <w:link w:val="4"/>
    <w:semiHidden/>
    <w:qFormat/>
    <w:uiPriority w:val="99"/>
    <w:rPr>
      <w:rFonts w:ascii="Times New Roman" w:hAnsi="Times New Roman" w:eastAsia="宋体" w:cs="Times New Roman"/>
      <w:szCs w:val="24"/>
    </w:rPr>
  </w:style>
  <w:style w:type="character" w:customStyle="1" w:styleId="19">
    <w:name w:val="批注主题 Char"/>
    <w:basedOn w:val="18"/>
    <w:link w:val="9"/>
    <w:semiHidden/>
    <w:qFormat/>
    <w:uiPriority w:val="99"/>
    <w:rPr>
      <w:rFonts w:ascii="Times New Roman" w:hAnsi="Times New Roman" w:eastAsia="宋体" w:cs="Times New Roman"/>
      <w:b/>
      <w:bCs/>
      <w:szCs w:val="24"/>
    </w:rPr>
  </w:style>
  <w:style w:type="character" w:customStyle="1" w:styleId="20">
    <w:name w:val="批注框文本 Char"/>
    <w:basedOn w:val="12"/>
    <w:link w:val="6"/>
    <w:semiHidden/>
    <w:qFormat/>
    <w:uiPriority w:val="99"/>
    <w:rPr>
      <w:rFonts w:ascii="Times New Roman" w:hAnsi="Times New Roman" w:eastAsia="宋体" w:cs="Times New Roman"/>
      <w:sz w:val="18"/>
      <w:szCs w:val="18"/>
    </w:rPr>
  </w:style>
  <w:style w:type="character" w:customStyle="1" w:styleId="21">
    <w:name w:val="标题 1 Char"/>
    <w:basedOn w:val="12"/>
    <w:link w:val="2"/>
    <w:qFormat/>
    <w:uiPriority w:val="9"/>
    <w:rPr>
      <w:rFonts w:ascii="Times New Roman" w:hAnsi="Times New Roman" w:eastAsia="宋体" w:cs="Times New Roman"/>
      <w:b/>
      <w:bCs/>
      <w:kern w:val="44"/>
      <w:sz w:val="44"/>
      <w:szCs w:val="44"/>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1221</Words>
  <Characters>1387</Characters>
  <Lines>10</Lines>
  <Paragraphs>3</Paragraphs>
  <TotalTime>0</TotalTime>
  <ScaleCrop>false</ScaleCrop>
  <LinksUpToDate>false</LinksUpToDate>
  <CharactersWithSpaces>1407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2022-06-24T11:18:00Z</dcterms:created>
  <dc:creator>Vincent Zhang</dc:creator>
  <cp:lastModifiedBy>keyond</cp:lastModifiedBy>
  <dcterms:modified xsi:type="dcterms:W3CDTF">2022-06-25T00:50:45Z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C6173E5CE2A8435BA7DB2E0CF54B4E3B</vt:lpwstr>
  </property>
</Properties>
</file>