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eastAsia="仿宋_GB2312"/>
          <w:kern w:val="0"/>
          <w:sz w:val="28"/>
          <w:szCs w:val="28"/>
        </w:rPr>
      </w:pPr>
      <w:r>
        <w:rPr>
          <w:rFonts w:hint="eastAsia" w:eastAsia="仿宋_GB2312"/>
          <w:kern w:val="0"/>
          <w:sz w:val="28"/>
          <w:szCs w:val="28"/>
        </w:rPr>
        <w:t>附件：</w:t>
      </w:r>
    </w:p>
    <w:p>
      <w:pPr>
        <w:pStyle w:val="22"/>
        <w:numPr>
          <w:ilvl w:val="0"/>
          <w:numId w:val="1"/>
        </w:numPr>
        <w:spacing w:line="360" w:lineRule="auto"/>
        <w:ind w:firstLineChars="0"/>
        <w:rPr>
          <w:rFonts w:ascii="宋体" w:hAnsi="宋体"/>
          <w:b/>
          <w:sz w:val="28"/>
          <w:szCs w:val="28"/>
        </w:rPr>
      </w:pPr>
      <w:r>
        <w:rPr>
          <w:rFonts w:ascii="宋体" w:hAnsi="宋体"/>
          <w:b/>
          <w:sz w:val="28"/>
          <w:szCs w:val="28"/>
        </w:rPr>
        <w:t>项目名称：</w:t>
      </w:r>
      <w:r>
        <w:rPr>
          <w:rFonts w:hint="eastAsia" w:ascii="宋体" w:hAnsi="宋体"/>
          <w:b/>
          <w:sz w:val="28"/>
          <w:szCs w:val="28"/>
        </w:rPr>
        <w:t>特大城市轨道交通路网运营主动安全保障与应急协同处置关键技术及系统应用</w:t>
      </w:r>
      <w:r>
        <w:rPr>
          <w:rFonts w:hint="eastAsia" w:ascii="宋体" w:hAnsi="宋体"/>
          <w:b/>
          <w:sz w:val="28"/>
          <w:szCs w:val="28"/>
          <w:lang w:eastAsia="zh-CN"/>
        </w:rPr>
        <w:t>（一等奖）</w:t>
      </w:r>
    </w:p>
    <w:p>
      <w:pPr>
        <w:pStyle w:val="22"/>
        <w:numPr>
          <w:ilvl w:val="0"/>
          <w:numId w:val="1"/>
        </w:numPr>
        <w:spacing w:line="360" w:lineRule="auto"/>
        <w:ind w:firstLineChars="0"/>
        <w:rPr>
          <w:rFonts w:ascii="宋体" w:hAnsi="宋体"/>
          <w:b/>
          <w:sz w:val="28"/>
          <w:szCs w:val="28"/>
        </w:rPr>
      </w:pPr>
      <w:r>
        <w:rPr>
          <w:rFonts w:hint="eastAsia" w:ascii="宋体" w:hAnsi="宋体"/>
          <w:b/>
          <w:sz w:val="28"/>
          <w:szCs w:val="28"/>
        </w:rPr>
        <w:t>主要完成单位及其排序</w:t>
      </w:r>
      <w:bookmarkStart w:id="1" w:name="_GoBack"/>
      <w:bookmarkEnd w:id="1"/>
    </w:p>
    <w:p>
      <w:pPr>
        <w:pStyle w:val="22"/>
        <w:spacing w:line="360" w:lineRule="auto"/>
        <w:ind w:left="360" w:firstLine="0" w:firstLineChars="0"/>
        <w:rPr>
          <w:rFonts w:ascii="宋体" w:hAnsi="宋体"/>
          <w:b/>
          <w:sz w:val="28"/>
          <w:szCs w:val="28"/>
        </w:rPr>
      </w:pPr>
      <w:r>
        <w:rPr>
          <w:rFonts w:hint="eastAsia" w:ascii="宋体" w:hAnsi="宋体"/>
          <w:b/>
          <w:sz w:val="28"/>
          <w:szCs w:val="28"/>
        </w:rPr>
        <w:t>北京交通大学、北京轨道交通路网管理有限公司</w:t>
      </w:r>
    </w:p>
    <w:p>
      <w:pPr>
        <w:pStyle w:val="22"/>
        <w:numPr>
          <w:ilvl w:val="0"/>
          <w:numId w:val="1"/>
        </w:numPr>
        <w:spacing w:line="360" w:lineRule="auto"/>
        <w:ind w:firstLineChars="0"/>
        <w:rPr>
          <w:rFonts w:ascii="宋体" w:hAnsi="宋体"/>
          <w:sz w:val="24"/>
        </w:rPr>
      </w:pPr>
      <w:r>
        <w:rPr>
          <w:rFonts w:hint="eastAsia" w:ascii="宋体" w:hAnsi="宋体"/>
          <w:b/>
          <w:sz w:val="28"/>
          <w:szCs w:val="28"/>
        </w:rPr>
        <w:t>主要完成人及其排序</w:t>
      </w:r>
    </w:p>
    <w:p>
      <w:pPr>
        <w:pStyle w:val="22"/>
        <w:spacing w:line="360" w:lineRule="auto"/>
        <w:ind w:left="360" w:firstLine="0" w:firstLineChars="0"/>
        <w:rPr>
          <w:rFonts w:ascii="宋体" w:hAnsi="宋体"/>
          <w:b/>
          <w:sz w:val="28"/>
          <w:szCs w:val="28"/>
        </w:rPr>
      </w:pPr>
      <w:r>
        <w:rPr>
          <w:rFonts w:hint="eastAsia" w:ascii="宋体" w:hAnsi="宋体"/>
          <w:b/>
          <w:sz w:val="28"/>
          <w:szCs w:val="28"/>
        </w:rPr>
        <w:t>秦勇、于增、孙方、郭建媛、谢征宇、方志伟</w:t>
      </w:r>
    </w:p>
    <w:p>
      <w:pPr>
        <w:pStyle w:val="22"/>
        <w:numPr>
          <w:ilvl w:val="0"/>
          <w:numId w:val="1"/>
        </w:numPr>
        <w:spacing w:line="360" w:lineRule="auto"/>
        <w:ind w:firstLineChars="0"/>
        <w:rPr>
          <w:rFonts w:ascii="宋体" w:hAnsi="宋体"/>
          <w:b/>
          <w:sz w:val="28"/>
          <w:szCs w:val="28"/>
        </w:rPr>
      </w:pPr>
      <w:r>
        <w:rPr>
          <w:rFonts w:hint="eastAsia" w:ascii="宋体" w:hAnsi="宋体"/>
          <w:b/>
          <w:sz w:val="28"/>
          <w:szCs w:val="28"/>
        </w:rPr>
        <w:t>知识产权</w:t>
      </w:r>
    </w:p>
    <w:p>
      <w:pPr>
        <w:pStyle w:val="5"/>
        <w:spacing w:line="440" w:lineRule="exact"/>
        <w:ind w:firstLine="482"/>
        <w:rPr>
          <w:rFonts w:ascii="宋体" w:hAnsi="宋体" w:cstheme="minorEastAsia"/>
          <w:b/>
          <w:bCs/>
          <w:color w:val="000000" w:themeColor="text1"/>
          <w:sz w:val="24"/>
          <w:szCs w:val="32"/>
          <w14:textFill>
            <w14:solidFill>
              <w14:schemeClr w14:val="tx1"/>
            </w14:solidFill>
          </w14:textFill>
        </w:rPr>
      </w:pPr>
      <w:r>
        <w:rPr>
          <w:rFonts w:hint="eastAsia" w:ascii="宋体" w:hAnsi="宋体" w:cstheme="minorEastAsia"/>
          <w:b/>
          <w:bCs/>
          <w:color w:val="000000" w:themeColor="text1"/>
          <w:sz w:val="24"/>
          <w:szCs w:val="32"/>
          <w14:textFill>
            <w14:solidFill>
              <w14:schemeClr w14:val="tx1"/>
            </w14:solidFill>
          </w14:textFill>
        </w:rPr>
        <w:t>（1）专利</w:t>
      </w:r>
    </w:p>
    <w:tbl>
      <w:tblPr>
        <w:tblStyle w:val="1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637"/>
        <w:gridCol w:w="2552"/>
        <w:gridCol w:w="1287"/>
        <w:gridCol w:w="1275"/>
        <w:gridCol w:w="183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序号</w:t>
            </w:r>
          </w:p>
        </w:tc>
        <w:tc>
          <w:tcPr>
            <w:tcW w:w="63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知识产权</w:t>
            </w:r>
          </w:p>
        </w:tc>
        <w:tc>
          <w:tcPr>
            <w:tcW w:w="255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具体名称</w:t>
            </w:r>
          </w:p>
        </w:tc>
        <w:tc>
          <w:tcPr>
            <w:tcW w:w="128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专利号/软著登记号</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专利权利人/著作权人</w:t>
            </w:r>
          </w:p>
        </w:tc>
        <w:tc>
          <w:tcPr>
            <w:tcW w:w="183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专利发明人</w:t>
            </w:r>
          </w:p>
          <w:p>
            <w:pPr>
              <w:pStyle w:val="5"/>
              <w:spacing w:line="440" w:lineRule="exact"/>
              <w:ind w:firstLine="0" w:firstLineChars="0"/>
              <w:jc w:val="center"/>
              <w:rPr>
                <w:rFonts w:hint="eastAsia"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/软著开发人</w:t>
            </w:r>
          </w:p>
        </w:tc>
        <w:tc>
          <w:tcPr>
            <w:tcW w:w="709"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numPr>
                <w:ilvl w:val="0"/>
                <w:numId w:val="2"/>
              </w:numPr>
              <w:spacing w:line="440" w:lineRule="exact"/>
              <w:ind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2</w:t>
            </w:r>
          </w:p>
        </w:tc>
        <w:tc>
          <w:tcPr>
            <w:tcW w:w="63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w:t>
            </w:r>
          </w:p>
        </w:tc>
        <w:tc>
          <w:tcPr>
            <w:tcW w:w="255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基于经验模态分解和核相关的滚动轴承故障诊断方法</w:t>
            </w:r>
          </w:p>
        </w:tc>
        <w:tc>
          <w:tcPr>
            <w:tcW w:w="128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ascii="宋体" w:hAnsi="宋体"/>
              </w:rPr>
              <w:t>CN202010936754.3</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北京</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交通大学</w:t>
            </w:r>
          </w:p>
        </w:tc>
        <w:tc>
          <w:tcPr>
            <w:tcW w:w="183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 xml:space="preserve">秦勇 赵雪军 </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刘志亮 冯志翻</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贾利民</w:t>
            </w:r>
          </w:p>
        </w:tc>
        <w:tc>
          <w:tcPr>
            <w:tcW w:w="709"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numPr>
                <w:ilvl w:val="0"/>
                <w:numId w:val="2"/>
              </w:numPr>
              <w:spacing w:line="440" w:lineRule="exact"/>
              <w:ind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4</w:t>
            </w:r>
          </w:p>
        </w:tc>
        <w:tc>
          <w:tcPr>
            <w:tcW w:w="63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w:t>
            </w:r>
          </w:p>
        </w:tc>
        <w:tc>
          <w:tcPr>
            <w:tcW w:w="255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基于时变马尔科夫过程的寿命预测方法</w:t>
            </w:r>
          </w:p>
        </w:tc>
        <w:tc>
          <w:tcPr>
            <w:tcW w:w="128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ascii="宋体" w:hAnsi="宋体"/>
              </w:rPr>
              <w:t>CN201910001112.1</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北京</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交通大学</w:t>
            </w:r>
          </w:p>
        </w:tc>
        <w:tc>
          <w:tcPr>
            <w:tcW w:w="183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秦勇 寇淋淋</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付勇 叶萌</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程晓卿 贾利民</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张志龙 李恒奎</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刘新旺</w:t>
            </w:r>
          </w:p>
        </w:tc>
        <w:tc>
          <w:tcPr>
            <w:tcW w:w="709"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numPr>
                <w:ilvl w:val="0"/>
                <w:numId w:val="2"/>
              </w:numPr>
              <w:spacing w:line="440" w:lineRule="exact"/>
              <w:ind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1</w:t>
            </w:r>
            <w:r>
              <w:rPr>
                <w:rFonts w:ascii="宋体" w:hAnsi="宋体" w:cstheme="minorEastAsia"/>
                <w:color w:val="000000" w:themeColor="text1"/>
                <w:szCs w:val="21"/>
                <w14:textFill>
                  <w14:solidFill>
                    <w14:schemeClr w14:val="tx1"/>
                  </w14:solidFill>
                </w14:textFill>
              </w:rPr>
              <w:t>4</w:t>
            </w:r>
          </w:p>
        </w:tc>
        <w:tc>
          <w:tcPr>
            <w:tcW w:w="63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w:t>
            </w:r>
          </w:p>
        </w:tc>
        <w:tc>
          <w:tcPr>
            <w:tcW w:w="255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一种城轨列车转向架的故障预测与视情维修方法</w:t>
            </w:r>
          </w:p>
        </w:tc>
        <w:tc>
          <w:tcPr>
            <w:tcW w:w="128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ascii="宋体" w:hAnsi="宋体"/>
              </w:rPr>
              <w:t>CN201410431294.3</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北京</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交通大学</w:t>
            </w:r>
          </w:p>
        </w:tc>
        <w:tc>
          <w:tcPr>
            <w:tcW w:w="183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 xml:space="preserve">秦勇 贾利民 </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 xml:space="preserve">史婧轩 程晓卿 张媛 于珊 </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寇淋淋 张振宇</w:t>
            </w:r>
          </w:p>
        </w:tc>
        <w:tc>
          <w:tcPr>
            <w:tcW w:w="709"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numPr>
                <w:ilvl w:val="0"/>
                <w:numId w:val="2"/>
              </w:numPr>
              <w:spacing w:line="440" w:lineRule="exact"/>
              <w:ind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1</w:t>
            </w:r>
            <w:r>
              <w:rPr>
                <w:rFonts w:ascii="宋体" w:hAnsi="宋体" w:cstheme="minorEastAsia"/>
                <w:color w:val="000000" w:themeColor="text1"/>
                <w:szCs w:val="21"/>
                <w14:textFill>
                  <w14:solidFill>
                    <w14:schemeClr w14:val="tx1"/>
                  </w14:solidFill>
                </w14:textFill>
              </w:rPr>
              <w:t>5</w:t>
            </w:r>
          </w:p>
        </w:tc>
        <w:tc>
          <w:tcPr>
            <w:tcW w:w="63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w:t>
            </w:r>
          </w:p>
        </w:tc>
        <w:tc>
          <w:tcPr>
            <w:tcW w:w="255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一种轨道交通系统运行安全评估方法</w:t>
            </w:r>
          </w:p>
        </w:tc>
        <w:tc>
          <w:tcPr>
            <w:tcW w:w="128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ascii="宋体" w:hAnsi="宋体"/>
              </w:rPr>
              <w:t>CN201210062049.0</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北京</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交通大学</w:t>
            </w:r>
          </w:p>
        </w:tc>
        <w:tc>
          <w:tcPr>
            <w:tcW w:w="183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秦勇 张媛</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贾利民 陈波</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廖贵玲 邢宗义</w:t>
            </w:r>
          </w:p>
        </w:tc>
        <w:tc>
          <w:tcPr>
            <w:tcW w:w="709"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numPr>
                <w:ilvl w:val="0"/>
                <w:numId w:val="2"/>
              </w:numPr>
              <w:spacing w:line="440" w:lineRule="exact"/>
              <w:ind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1</w:t>
            </w:r>
            <w:r>
              <w:rPr>
                <w:rFonts w:ascii="宋体" w:hAnsi="宋体" w:cstheme="minorEastAsia"/>
                <w:color w:val="000000" w:themeColor="text1"/>
                <w:szCs w:val="21"/>
                <w14:textFill>
                  <w14:solidFill>
                    <w14:schemeClr w14:val="tx1"/>
                  </w14:solidFill>
                </w14:textFill>
              </w:rPr>
              <w:t>9</w:t>
            </w:r>
          </w:p>
        </w:tc>
        <w:tc>
          <w:tcPr>
            <w:tcW w:w="63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w:t>
            </w:r>
          </w:p>
        </w:tc>
        <w:tc>
          <w:tcPr>
            <w:tcW w:w="255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rPr>
              <w:t>城市轨道交通网络客流在线控制系统</w:t>
            </w:r>
          </w:p>
        </w:tc>
        <w:tc>
          <w:tcPr>
            <w:tcW w:w="128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ascii="宋体" w:hAnsi="宋体"/>
              </w:rPr>
              <w:t>CN201810930711.7</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北京</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交通大学</w:t>
            </w:r>
          </w:p>
        </w:tc>
        <w:tc>
          <w:tcPr>
            <w:tcW w:w="183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郭建媛 贾利民</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秦勇 马骁</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李则巾 王雅观</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谢臻 刘源</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郑云霄 薛宏娇</w:t>
            </w:r>
          </w:p>
        </w:tc>
        <w:tc>
          <w:tcPr>
            <w:tcW w:w="709"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numPr>
                <w:ilvl w:val="0"/>
                <w:numId w:val="2"/>
              </w:numPr>
              <w:spacing w:line="440" w:lineRule="exact"/>
              <w:ind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2</w:t>
            </w:r>
            <w:r>
              <w:rPr>
                <w:rFonts w:ascii="宋体" w:hAnsi="宋体" w:cstheme="minorEastAsia"/>
                <w:color w:val="000000" w:themeColor="text1"/>
                <w:szCs w:val="21"/>
                <w14:textFill>
                  <w14:solidFill>
                    <w14:schemeClr w14:val="tx1"/>
                  </w14:solidFill>
                </w14:textFill>
              </w:rPr>
              <w:t>0</w:t>
            </w:r>
          </w:p>
        </w:tc>
        <w:tc>
          <w:tcPr>
            <w:tcW w:w="63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w:t>
            </w:r>
          </w:p>
        </w:tc>
        <w:tc>
          <w:tcPr>
            <w:tcW w:w="255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rPr>
              <w:t>基于</w:t>
            </w:r>
            <w:r>
              <w:rPr>
                <w:rFonts w:ascii="宋体" w:hAnsi="宋体"/>
              </w:rPr>
              <w:t>AFC</w:t>
            </w:r>
            <w:r>
              <w:rPr>
                <w:rFonts w:hint="eastAsia" w:ascii="宋体" w:hAnsi="宋体"/>
              </w:rPr>
              <w:t>与视频数据的城市轨道交通乘客行程反演系统</w:t>
            </w:r>
          </w:p>
        </w:tc>
        <w:tc>
          <w:tcPr>
            <w:tcW w:w="128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ascii="宋体" w:hAnsi="宋体"/>
              </w:rPr>
              <w:t>CN201910718118.0</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北京</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交通大学</w:t>
            </w:r>
          </w:p>
        </w:tc>
        <w:tc>
          <w:tcPr>
            <w:tcW w:w="183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郭建媛 谢臻</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秦勇 贾利民</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王雅观 孙璇</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薛宏娇</w:t>
            </w:r>
          </w:p>
        </w:tc>
        <w:tc>
          <w:tcPr>
            <w:tcW w:w="709"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numPr>
                <w:ilvl w:val="0"/>
                <w:numId w:val="2"/>
              </w:numPr>
              <w:spacing w:line="440" w:lineRule="exact"/>
              <w:ind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2</w:t>
            </w:r>
            <w:r>
              <w:rPr>
                <w:rFonts w:ascii="宋体" w:hAnsi="宋体" w:cstheme="minorEastAsia"/>
                <w:color w:val="000000" w:themeColor="text1"/>
                <w:szCs w:val="21"/>
                <w14:textFill>
                  <w14:solidFill>
                    <w14:schemeClr w14:val="tx1"/>
                  </w14:solidFill>
                </w14:textFill>
              </w:rPr>
              <w:t>1</w:t>
            </w:r>
          </w:p>
        </w:tc>
        <w:tc>
          <w:tcPr>
            <w:tcW w:w="63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专利</w:t>
            </w:r>
          </w:p>
        </w:tc>
        <w:tc>
          <w:tcPr>
            <w:tcW w:w="255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rPr>
              <w:t>城市轨道交通大规模路网快速仿真系统</w:t>
            </w:r>
          </w:p>
        </w:tc>
        <w:tc>
          <w:tcPr>
            <w:tcW w:w="1287"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ascii="宋体" w:hAnsi="宋体"/>
              </w:rPr>
              <w:t>CN201910542242.6</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北京</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交通大学</w:t>
            </w:r>
          </w:p>
        </w:tc>
        <w:tc>
          <w:tcPr>
            <w:tcW w:w="1832"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郭建媛 谢臻</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贾利民 秦勇</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王雅观 孙璇</w:t>
            </w:r>
          </w:p>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高江华 薛宏娇</w:t>
            </w:r>
          </w:p>
        </w:tc>
        <w:tc>
          <w:tcPr>
            <w:tcW w:w="709"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pStyle w:val="5"/>
              <w:numPr>
                <w:ilvl w:val="0"/>
                <w:numId w:val="2"/>
              </w:numPr>
              <w:spacing w:line="440" w:lineRule="exact"/>
              <w:ind w:firstLineChars="0"/>
              <w:jc w:val="center"/>
              <w:rPr>
                <w:rFonts w:hint="eastAsia" w:ascii="宋体" w:hAnsi="宋体" w:cstheme="minorEastAsia"/>
                <w:color w:val="000000" w:themeColor="text1"/>
                <w:szCs w:val="21"/>
                <w14:textFill>
                  <w14:solidFill>
                    <w14:schemeClr w14:val="tx1"/>
                  </w14:solidFill>
                </w14:textFill>
              </w:rPr>
            </w:pPr>
          </w:p>
        </w:tc>
        <w:tc>
          <w:tcPr>
            <w:tcW w:w="637" w:type="dxa"/>
            <w:vAlign w:val="center"/>
          </w:tcPr>
          <w:p>
            <w:pPr>
              <w:pStyle w:val="5"/>
              <w:spacing w:line="440" w:lineRule="exact"/>
              <w:ind w:firstLine="0" w:firstLineChars="0"/>
              <w:jc w:val="center"/>
              <w:rPr>
                <w:rFonts w:hint="eastAsia"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软著</w:t>
            </w:r>
          </w:p>
        </w:tc>
        <w:tc>
          <w:tcPr>
            <w:tcW w:w="2552" w:type="dxa"/>
            <w:vAlign w:val="center"/>
          </w:tcPr>
          <w:p>
            <w:pPr>
              <w:pStyle w:val="5"/>
              <w:spacing w:line="440" w:lineRule="exact"/>
              <w:ind w:firstLine="0" w:firstLineChars="0"/>
              <w:jc w:val="center"/>
              <w:rPr>
                <w:rFonts w:hint="eastAsia" w:ascii="宋体" w:hAnsi="宋体"/>
              </w:rPr>
            </w:pPr>
            <w:r>
              <w:rPr>
                <w:rFonts w:hint="eastAsia" w:ascii="Times New Roman" w:hAnsi="Times New Roman"/>
              </w:rPr>
              <w:t>城市轨道交通车站大客流预测与预警软件</w:t>
            </w:r>
          </w:p>
        </w:tc>
        <w:tc>
          <w:tcPr>
            <w:tcW w:w="1287" w:type="dxa"/>
            <w:vAlign w:val="center"/>
          </w:tcPr>
          <w:p>
            <w:pPr>
              <w:pStyle w:val="5"/>
              <w:spacing w:line="440" w:lineRule="exact"/>
              <w:ind w:firstLine="0" w:firstLineChars="0"/>
              <w:jc w:val="center"/>
              <w:rPr>
                <w:rFonts w:ascii="宋体" w:hAnsi="宋体"/>
              </w:rPr>
            </w:pPr>
            <w:r>
              <w:rPr>
                <w:rFonts w:hint="eastAsia" w:ascii="Times New Roman" w:hAnsi="Times New Roman"/>
              </w:rPr>
              <w:t>2021SRBJ0253</w:t>
            </w:r>
          </w:p>
        </w:tc>
        <w:tc>
          <w:tcPr>
            <w:tcW w:w="1275" w:type="dxa"/>
            <w:vAlign w:val="center"/>
          </w:tcPr>
          <w:p>
            <w:pPr>
              <w:pStyle w:val="5"/>
              <w:spacing w:line="440" w:lineRule="exact"/>
              <w:ind w:firstLine="0" w:firstLineChars="0"/>
              <w:jc w:val="cente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北京</w:t>
            </w:r>
          </w:p>
          <w:p>
            <w:pPr>
              <w:pStyle w:val="5"/>
              <w:spacing w:line="440" w:lineRule="exact"/>
              <w:ind w:firstLine="0" w:firstLineChars="0"/>
              <w:jc w:val="center"/>
              <w:rPr>
                <w:rFonts w:hint="eastAsia"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交通大学</w:t>
            </w:r>
          </w:p>
        </w:tc>
        <w:tc>
          <w:tcPr>
            <w:tcW w:w="1832" w:type="dxa"/>
            <w:vAlign w:val="center"/>
          </w:tcPr>
          <w:p>
            <w:pPr>
              <w:pStyle w:val="5"/>
              <w:spacing w:line="440" w:lineRule="exact"/>
              <w:ind w:firstLine="0" w:firstLineChars="0"/>
              <w:jc w:val="center"/>
              <w:rPr>
                <w:rFonts w:hint="eastAsia"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郭建媛 王雅观秦勇</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贾利民</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张辉 杜佳敏</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唐雨昕</w:t>
            </w:r>
          </w:p>
        </w:tc>
        <w:tc>
          <w:tcPr>
            <w:tcW w:w="709" w:type="dxa"/>
            <w:vAlign w:val="center"/>
          </w:tcPr>
          <w:p>
            <w:pPr>
              <w:pStyle w:val="5"/>
              <w:spacing w:line="440" w:lineRule="exact"/>
              <w:ind w:firstLine="0" w:firstLineChars="0"/>
              <w:jc w:val="center"/>
              <w:rPr>
                <w:rFonts w:hint="eastAsia"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软著</w:t>
            </w:r>
          </w:p>
        </w:tc>
      </w:tr>
    </w:tbl>
    <w:p>
      <w:pPr>
        <w:pStyle w:val="5"/>
        <w:spacing w:line="440" w:lineRule="exact"/>
        <w:ind w:firstLine="0" w:firstLineChars="0"/>
        <w:rPr>
          <w:rFonts w:ascii="宋体" w:hAnsi="宋体" w:cstheme="minorEastAsia"/>
          <w:color w:val="000000" w:themeColor="text1"/>
          <w:sz w:val="24"/>
          <w:szCs w:val="32"/>
          <w14:textFill>
            <w14:solidFill>
              <w14:schemeClr w14:val="tx1"/>
            </w14:solidFill>
          </w14:textFill>
        </w:rPr>
      </w:pPr>
    </w:p>
    <w:p>
      <w:pPr>
        <w:pStyle w:val="5"/>
        <w:spacing w:line="440" w:lineRule="exact"/>
        <w:ind w:firstLine="0" w:firstLineChars="0"/>
        <w:rPr>
          <w:rFonts w:ascii="宋体" w:hAnsi="宋体" w:cstheme="minorEastAsia"/>
          <w:b/>
          <w:bCs/>
          <w:color w:val="000000" w:themeColor="text1"/>
          <w:sz w:val="24"/>
          <w:szCs w:val="32"/>
          <w14:textFill>
            <w14:solidFill>
              <w14:schemeClr w14:val="tx1"/>
            </w14:solidFill>
          </w14:textFill>
        </w:rPr>
      </w:pPr>
      <w:r>
        <w:rPr>
          <w:rFonts w:ascii="宋体" w:hAnsi="宋体" w:cstheme="minorEastAsia"/>
          <w:b/>
          <w:bCs/>
          <w:color w:val="000000" w:themeColor="text1"/>
          <w:sz w:val="24"/>
          <w:szCs w:val="32"/>
          <w14:textFill>
            <w14:solidFill>
              <w14:schemeClr w14:val="tx1"/>
            </w14:solidFill>
          </w14:textFill>
        </w:rPr>
        <w:t>(2)</w:t>
      </w:r>
      <w:r>
        <w:rPr>
          <w:rFonts w:hint="eastAsia" w:ascii="宋体" w:hAnsi="宋体" w:cstheme="minorEastAsia"/>
          <w:b/>
          <w:bCs/>
          <w:color w:val="000000" w:themeColor="text1"/>
          <w:sz w:val="24"/>
          <w:szCs w:val="32"/>
          <w14:textFill>
            <w14:solidFill>
              <w14:schemeClr w14:val="tx1"/>
            </w14:solidFill>
          </w14:textFill>
        </w:rPr>
        <w:t>论文：</w:t>
      </w:r>
    </w:p>
    <w:tbl>
      <w:tblPr>
        <w:tblStyle w:val="11"/>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737"/>
        <w:gridCol w:w="2496"/>
        <w:gridCol w:w="1701"/>
        <w:gridCol w:w="2497"/>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48" w:type="dxa"/>
            <w:vAlign w:val="center"/>
          </w:tcPr>
          <w:p>
            <w:pPr>
              <w:spacing w:line="390" w:lineRule="exact"/>
              <w:jc w:val="center"/>
              <w:rPr>
                <w:rFonts w:ascii="宋体" w:hAnsi="宋体"/>
              </w:rPr>
            </w:pPr>
            <w:r>
              <w:rPr>
                <w:rFonts w:hint="eastAsia" w:ascii="宋体" w:hAnsi="宋体"/>
              </w:rPr>
              <w:t>序号</w:t>
            </w:r>
          </w:p>
        </w:tc>
        <w:tc>
          <w:tcPr>
            <w:tcW w:w="737" w:type="dxa"/>
            <w:vAlign w:val="center"/>
          </w:tcPr>
          <w:p>
            <w:pPr>
              <w:spacing w:line="390" w:lineRule="exact"/>
              <w:jc w:val="center"/>
              <w:rPr>
                <w:rFonts w:ascii="宋体" w:hAnsi="宋体"/>
                <w:szCs w:val="21"/>
              </w:rPr>
            </w:pPr>
            <w:r>
              <w:rPr>
                <w:rFonts w:hint="eastAsia" w:ascii="宋体" w:hAnsi="宋体"/>
                <w:szCs w:val="21"/>
              </w:rPr>
              <w:t>知识产权</w:t>
            </w:r>
          </w:p>
        </w:tc>
        <w:tc>
          <w:tcPr>
            <w:tcW w:w="2496" w:type="dxa"/>
            <w:vAlign w:val="center"/>
          </w:tcPr>
          <w:p>
            <w:pPr>
              <w:spacing w:line="390" w:lineRule="exact"/>
              <w:jc w:val="center"/>
              <w:rPr>
                <w:rFonts w:ascii="宋体" w:hAnsi="宋体"/>
              </w:rPr>
            </w:pPr>
            <w:r>
              <w:rPr>
                <w:rFonts w:hint="eastAsia" w:ascii="宋体" w:hAnsi="宋体"/>
              </w:rPr>
              <w:t>专著/论文名称</w:t>
            </w:r>
          </w:p>
        </w:tc>
        <w:tc>
          <w:tcPr>
            <w:tcW w:w="1701" w:type="dxa"/>
            <w:vAlign w:val="center"/>
          </w:tcPr>
          <w:p>
            <w:pPr>
              <w:spacing w:line="390" w:lineRule="exact"/>
              <w:jc w:val="center"/>
              <w:rPr>
                <w:rFonts w:ascii="宋体" w:hAnsi="宋体"/>
              </w:rPr>
            </w:pPr>
            <w:r>
              <w:rPr>
                <w:rFonts w:hint="eastAsia" w:ascii="宋体" w:hAnsi="宋体"/>
              </w:rPr>
              <w:t>作者</w:t>
            </w:r>
          </w:p>
        </w:tc>
        <w:tc>
          <w:tcPr>
            <w:tcW w:w="2497" w:type="dxa"/>
            <w:vAlign w:val="center"/>
          </w:tcPr>
          <w:p>
            <w:pPr>
              <w:spacing w:line="390" w:lineRule="exact"/>
              <w:jc w:val="center"/>
              <w:rPr>
                <w:rFonts w:ascii="宋体" w:hAnsi="宋体"/>
              </w:rPr>
            </w:pPr>
            <w:r>
              <w:rPr>
                <w:rFonts w:hint="eastAsia" w:ascii="宋体" w:hAnsi="宋体"/>
              </w:rPr>
              <w:t>出版社/期刊/会议</w:t>
            </w:r>
          </w:p>
        </w:tc>
        <w:tc>
          <w:tcPr>
            <w:tcW w:w="1091" w:type="dxa"/>
            <w:vAlign w:val="center"/>
          </w:tcPr>
          <w:p>
            <w:pPr>
              <w:spacing w:line="390" w:lineRule="exact"/>
              <w:jc w:val="center"/>
              <w:rPr>
                <w:rFonts w:ascii="Times New Roman" w:hAnsi="Times New Roman"/>
              </w:rPr>
            </w:pPr>
            <w:r>
              <w:rPr>
                <w:rFonts w:ascii="Times New Roman" w:hAnsi="Times New Roman"/>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pStyle w:val="22"/>
              <w:numPr>
                <w:ilvl w:val="0"/>
                <w:numId w:val="3"/>
              </w:numPr>
              <w:spacing w:line="390" w:lineRule="exact"/>
              <w:ind w:firstLineChars="0"/>
              <w:jc w:val="center"/>
              <w:rPr>
                <w:rFonts w:ascii="Calibri" w:hAnsi="Calibri"/>
              </w:rPr>
            </w:pPr>
            <w:r>
              <w:rPr>
                <w:rFonts w:hint="eastAsia" w:ascii="Calibri" w:hAnsi="Calibri"/>
              </w:rPr>
              <w:t>1</w:t>
            </w:r>
            <w:r>
              <w:rPr>
                <w:rFonts w:ascii="Calibri" w:hAnsi="Calibri"/>
              </w:rPr>
              <w:t>2</w:t>
            </w:r>
          </w:p>
        </w:tc>
        <w:tc>
          <w:tcPr>
            <w:tcW w:w="737" w:type="dxa"/>
            <w:vAlign w:val="center"/>
          </w:tcPr>
          <w:p>
            <w:pPr>
              <w:spacing w:line="390" w:lineRule="exact"/>
              <w:jc w:val="center"/>
              <w:rPr>
                <w:rFonts w:ascii="宋体" w:hAnsi="宋体"/>
                <w:szCs w:val="21"/>
              </w:rPr>
            </w:pPr>
            <w:r>
              <w:rPr>
                <w:rFonts w:ascii="Times New Roman" w:hAnsi="Times New Roman"/>
                <w:szCs w:val="21"/>
              </w:rPr>
              <w:t>SCI论文</w:t>
            </w:r>
          </w:p>
        </w:tc>
        <w:tc>
          <w:tcPr>
            <w:tcW w:w="2496" w:type="dxa"/>
            <w:vAlign w:val="center"/>
          </w:tcPr>
          <w:p>
            <w:pPr>
              <w:pStyle w:val="24"/>
              <w:spacing w:line="390" w:lineRule="exact"/>
              <w:jc w:val="center"/>
              <w:rPr>
                <w:rFonts w:ascii="Times New Roman" w:hAnsi="Times New Roman"/>
              </w:rPr>
            </w:pPr>
            <w:r>
              <w:rPr>
                <w:rFonts w:ascii="Times New Roman" w:hAnsi="Times New Roman"/>
              </w:rPr>
              <w:t>Rolling Element Bearing Fault Diagnosis under Impulsive Noise Environment Based on Cyclic Correntropy Spectrum</w:t>
            </w:r>
          </w:p>
        </w:tc>
        <w:tc>
          <w:tcPr>
            <w:tcW w:w="1701" w:type="dxa"/>
            <w:vAlign w:val="center"/>
          </w:tcPr>
          <w:p>
            <w:pPr>
              <w:pStyle w:val="24"/>
              <w:spacing w:line="390" w:lineRule="exact"/>
              <w:jc w:val="center"/>
              <w:rPr>
                <w:rFonts w:ascii="Times New Roman" w:hAnsi="Times New Roman"/>
              </w:rPr>
            </w:pPr>
            <w:r>
              <w:rPr>
                <w:rFonts w:ascii="Times New Roman" w:hAnsi="Times New Roman"/>
              </w:rPr>
              <w:t>Xuejun Zhao; Yong Qin; Changbo He; Limin Jia; Linlin Kou</w:t>
            </w:r>
          </w:p>
        </w:tc>
        <w:tc>
          <w:tcPr>
            <w:tcW w:w="2497" w:type="dxa"/>
            <w:vAlign w:val="center"/>
          </w:tcPr>
          <w:p>
            <w:pPr>
              <w:pStyle w:val="24"/>
              <w:spacing w:line="390" w:lineRule="exact"/>
              <w:jc w:val="center"/>
              <w:rPr>
                <w:rFonts w:ascii="Times New Roman" w:hAnsi="Times New Roman"/>
              </w:rPr>
            </w:pPr>
            <w:r>
              <w:rPr>
                <w:rFonts w:ascii="Times New Roman" w:hAnsi="Times New Roman"/>
              </w:rPr>
              <w:t>Entropy</w:t>
            </w:r>
          </w:p>
        </w:tc>
        <w:tc>
          <w:tcPr>
            <w:tcW w:w="1091" w:type="dxa"/>
            <w:vAlign w:val="center"/>
          </w:tcPr>
          <w:p>
            <w:pPr>
              <w:spacing w:line="390" w:lineRule="exact"/>
              <w:jc w:val="center"/>
              <w:rPr>
                <w:rFonts w:ascii="Times New Roman" w:hAnsi="Times New Roman"/>
              </w:rPr>
            </w:pPr>
            <w:r>
              <w:rPr>
                <w:rFonts w:ascii="Times New Roman" w:hAnsi="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pStyle w:val="22"/>
              <w:numPr>
                <w:ilvl w:val="0"/>
                <w:numId w:val="3"/>
              </w:numPr>
              <w:spacing w:line="390" w:lineRule="exact"/>
              <w:ind w:firstLineChars="0"/>
              <w:jc w:val="center"/>
              <w:rPr>
                <w:rFonts w:ascii="Calibri" w:hAnsi="Calibri"/>
              </w:rPr>
            </w:pPr>
            <w:r>
              <w:rPr>
                <w:rFonts w:hint="eastAsia" w:ascii="Calibri" w:hAnsi="Calibri"/>
              </w:rPr>
              <w:t>2</w:t>
            </w:r>
            <w:r>
              <w:rPr>
                <w:rFonts w:ascii="Calibri" w:hAnsi="Calibri"/>
              </w:rPr>
              <w:t>4</w:t>
            </w:r>
          </w:p>
        </w:tc>
        <w:tc>
          <w:tcPr>
            <w:tcW w:w="737" w:type="dxa"/>
            <w:vAlign w:val="center"/>
          </w:tcPr>
          <w:p>
            <w:pPr>
              <w:spacing w:line="390" w:lineRule="exact"/>
              <w:jc w:val="center"/>
              <w:rPr>
                <w:rFonts w:ascii="宋体" w:hAnsi="宋体"/>
                <w:szCs w:val="21"/>
              </w:rPr>
            </w:pPr>
            <w:r>
              <w:rPr>
                <w:rFonts w:ascii="Times New Roman" w:hAnsi="Times New Roman"/>
                <w:szCs w:val="21"/>
              </w:rPr>
              <w:t>SCI</w:t>
            </w:r>
            <w:r>
              <w:rPr>
                <w:rFonts w:hint="eastAsia" w:ascii="宋体" w:hAnsi="宋体"/>
                <w:szCs w:val="21"/>
              </w:rPr>
              <w:t>论文</w:t>
            </w:r>
          </w:p>
        </w:tc>
        <w:tc>
          <w:tcPr>
            <w:tcW w:w="2496" w:type="dxa"/>
            <w:vAlign w:val="center"/>
          </w:tcPr>
          <w:p>
            <w:pPr>
              <w:pStyle w:val="24"/>
              <w:spacing w:line="390" w:lineRule="exact"/>
              <w:jc w:val="center"/>
              <w:rPr>
                <w:rFonts w:ascii="Times New Roman" w:hAnsi="Times New Roman"/>
              </w:rPr>
            </w:pPr>
            <w:r>
              <w:rPr>
                <w:rFonts w:ascii="Times New Roman" w:hAnsi="Times New Roman"/>
              </w:rPr>
              <w:t>Multiposition Joint Control in Transfer Station Considering the Nonlinear Characteristics of Passenger Flow</w:t>
            </w:r>
          </w:p>
        </w:tc>
        <w:tc>
          <w:tcPr>
            <w:tcW w:w="1701" w:type="dxa"/>
            <w:vAlign w:val="center"/>
          </w:tcPr>
          <w:p>
            <w:pPr>
              <w:pStyle w:val="24"/>
              <w:spacing w:line="390" w:lineRule="exact"/>
              <w:jc w:val="center"/>
              <w:rPr>
                <w:rFonts w:ascii="Times New Roman" w:hAnsi="Times New Roman"/>
              </w:rPr>
            </w:pPr>
            <w:r>
              <w:rPr>
                <w:rFonts w:ascii="Times New Roman" w:hAnsi="Times New Roman"/>
              </w:rPr>
              <w:t xml:space="preserve">Wang Yaguan; Qin Yong; </w:t>
            </w:r>
          </w:p>
          <w:p>
            <w:pPr>
              <w:pStyle w:val="24"/>
              <w:spacing w:line="390" w:lineRule="exact"/>
              <w:jc w:val="center"/>
              <w:rPr>
                <w:rFonts w:ascii="Times New Roman" w:hAnsi="Times New Roman"/>
              </w:rPr>
            </w:pPr>
            <w:r>
              <w:rPr>
                <w:rFonts w:ascii="Times New Roman" w:hAnsi="Times New Roman"/>
              </w:rPr>
              <w:t>Guo Jianyuan; Jia Limin;</w:t>
            </w:r>
          </w:p>
          <w:p>
            <w:pPr>
              <w:pStyle w:val="24"/>
              <w:spacing w:line="390" w:lineRule="exact"/>
              <w:jc w:val="center"/>
              <w:rPr>
                <w:rFonts w:ascii="Times New Roman" w:hAnsi="Times New Roman"/>
              </w:rPr>
            </w:pPr>
            <w:r>
              <w:rPr>
                <w:rFonts w:ascii="Times New Roman" w:hAnsi="Times New Roman"/>
              </w:rPr>
              <w:t xml:space="preserve"> Wei Yun; </w:t>
            </w:r>
          </w:p>
          <w:p>
            <w:pPr>
              <w:pStyle w:val="24"/>
              <w:spacing w:line="390" w:lineRule="exact"/>
              <w:jc w:val="center"/>
              <w:rPr>
                <w:rFonts w:ascii="Times New Roman" w:hAnsi="Times New Roman"/>
              </w:rPr>
            </w:pPr>
            <w:r>
              <w:rPr>
                <w:rFonts w:ascii="Times New Roman" w:hAnsi="Times New Roman"/>
              </w:rPr>
              <w:t>Pi Yannan</w:t>
            </w:r>
          </w:p>
        </w:tc>
        <w:tc>
          <w:tcPr>
            <w:tcW w:w="2497" w:type="dxa"/>
            <w:vAlign w:val="center"/>
          </w:tcPr>
          <w:p>
            <w:pPr>
              <w:pStyle w:val="24"/>
              <w:spacing w:line="390" w:lineRule="exact"/>
              <w:jc w:val="center"/>
              <w:rPr>
                <w:rFonts w:ascii="Times New Roman" w:hAnsi="Times New Roman"/>
              </w:rPr>
            </w:pPr>
            <w:r>
              <w:rPr>
                <w:rFonts w:ascii="Times New Roman" w:hAnsi="Times New Roman"/>
              </w:rPr>
              <w:t>Journal of Transportation Engineering, Part A: Systems</w:t>
            </w:r>
          </w:p>
        </w:tc>
        <w:tc>
          <w:tcPr>
            <w:tcW w:w="1091" w:type="dxa"/>
            <w:vAlign w:val="center"/>
          </w:tcPr>
          <w:p>
            <w:pPr>
              <w:spacing w:line="390" w:lineRule="exact"/>
              <w:jc w:val="center"/>
              <w:rPr>
                <w:rFonts w:ascii="Times New Roman" w:hAnsi="Times New Roman"/>
              </w:rPr>
            </w:pPr>
            <w:r>
              <w:rPr>
                <w:rFonts w:ascii="Times New Roman" w:hAnsi="Times New Roman"/>
              </w:rPr>
              <w:t>2021</w:t>
            </w:r>
          </w:p>
        </w:tc>
      </w:tr>
    </w:tbl>
    <w:p>
      <w:pPr>
        <w:pStyle w:val="22"/>
        <w:numPr>
          <w:ilvl w:val="0"/>
          <w:numId w:val="1"/>
        </w:numPr>
        <w:spacing w:line="360" w:lineRule="auto"/>
        <w:ind w:firstLineChars="0"/>
        <w:rPr>
          <w:rFonts w:ascii="宋体" w:hAnsi="宋体"/>
          <w:b/>
          <w:sz w:val="28"/>
          <w:szCs w:val="28"/>
        </w:rPr>
      </w:pPr>
      <w:r>
        <w:rPr>
          <w:rFonts w:hint="eastAsia" w:ascii="宋体" w:hAnsi="宋体"/>
          <w:b/>
          <w:sz w:val="28"/>
          <w:szCs w:val="28"/>
        </w:rPr>
        <w:t>成果创新点</w:t>
      </w:r>
    </w:p>
    <w:p>
      <w:pPr>
        <w:spacing w:line="360" w:lineRule="auto"/>
        <w:ind w:firstLine="420" w:firstLineChars="200"/>
      </w:pPr>
      <w:r>
        <w:rPr>
          <w:rFonts w:hint="eastAsia"/>
        </w:rPr>
        <w:t>（1）面向主动安全保障的路网运营安全状态高精度全域感知技术</w:t>
      </w:r>
    </w:p>
    <w:p>
      <w:pPr>
        <w:spacing w:line="360" w:lineRule="auto"/>
        <w:ind w:firstLine="420" w:firstLineChars="200"/>
      </w:pPr>
      <w:r>
        <w:rPr>
          <w:rFonts w:hint="eastAsia"/>
        </w:rPr>
        <w:t>包含基于视频与AFC特征融合的全域客流安全状态感知、动态数据驱动和模型计算协同的列车安全状态感知和</w:t>
      </w:r>
      <w:r>
        <w:rPr>
          <w:rFonts w:hint="eastAsia" w:ascii="宋体" w:hAnsi="宋体"/>
          <w:szCs w:val="30"/>
        </w:rPr>
        <w:t>路网运营安</w:t>
      </w:r>
      <w:r>
        <w:rPr>
          <w:rFonts w:hint="eastAsia" w:ascii="宋体" w:hAnsi="宋体"/>
          <w:color w:val="000000" w:themeColor="text1"/>
          <w:szCs w:val="30"/>
          <w14:textFill>
            <w14:solidFill>
              <w14:schemeClr w14:val="tx1"/>
            </w14:solidFill>
          </w14:textFill>
        </w:rPr>
        <w:t>全可视化全貌</w:t>
      </w:r>
      <w:r>
        <w:rPr>
          <w:rFonts w:hint="eastAsia" w:ascii="宋体" w:hAnsi="宋体"/>
          <w:szCs w:val="30"/>
        </w:rPr>
        <w:t>监视</w:t>
      </w:r>
      <w:r>
        <w:rPr>
          <w:rFonts w:hint="eastAsia"/>
        </w:rPr>
        <w:t>。</w:t>
      </w:r>
    </w:p>
    <w:p>
      <w:pPr>
        <w:spacing w:line="360" w:lineRule="auto"/>
        <w:ind w:firstLine="420" w:firstLineChars="200"/>
      </w:pPr>
      <w:r>
        <w:rPr>
          <w:rFonts w:hint="eastAsia"/>
        </w:rPr>
        <w:t>（2）基于状态预测的路网大客流风险态势分析与运营安全量化评估技术</w:t>
      </w:r>
    </w:p>
    <w:p>
      <w:pPr>
        <w:spacing w:line="360" w:lineRule="auto"/>
        <w:ind w:firstLine="420" w:firstLineChars="200"/>
      </w:pPr>
      <w:r>
        <w:rPr>
          <w:rFonts w:hint="eastAsia"/>
        </w:rPr>
        <w:t>包含</w:t>
      </w:r>
      <w:r>
        <w:rPr>
          <w:rFonts w:hint="eastAsia" w:ascii="宋体" w:hAnsi="宋体"/>
          <w:szCs w:val="30"/>
        </w:rPr>
        <w:t>客流多维度精准预测预警技术</w:t>
      </w:r>
      <w:r>
        <w:rPr>
          <w:rFonts w:hint="eastAsia"/>
        </w:rPr>
        <w:t>、</w:t>
      </w:r>
      <w:r>
        <w:rPr>
          <w:rFonts w:ascii="宋体" w:hAnsi="宋体"/>
          <w:szCs w:val="30"/>
        </w:rPr>
        <w:t>路网运营安全风险评价指标体系</w:t>
      </w:r>
      <w:r>
        <w:rPr>
          <w:rFonts w:hint="eastAsia" w:ascii="宋体" w:hAnsi="宋体"/>
          <w:szCs w:val="30"/>
        </w:rPr>
        <w:t>和</w:t>
      </w:r>
      <w:bookmarkStart w:id="0" w:name="_Hlk103269013"/>
      <w:r>
        <w:rPr>
          <w:rFonts w:hint="eastAsia" w:ascii="宋体" w:hAnsi="宋体"/>
          <w:szCs w:val="30"/>
        </w:rPr>
        <w:t>路网运营安全动态综合评估方法</w:t>
      </w:r>
      <w:bookmarkEnd w:id="0"/>
      <w:r>
        <w:rPr>
          <w:rFonts w:hint="eastAsia"/>
        </w:rPr>
        <w:t>；</w:t>
      </w:r>
    </w:p>
    <w:p>
      <w:pPr>
        <w:spacing w:line="360" w:lineRule="auto"/>
        <w:ind w:firstLine="420" w:firstLineChars="200"/>
      </w:pPr>
      <w:r>
        <w:rPr>
          <w:rFonts w:hint="eastAsia"/>
        </w:rPr>
        <w:t>（3）</w:t>
      </w:r>
      <w:r>
        <w:rPr>
          <w:rFonts w:hint="eastAsia" w:ascii="宋体" w:hAnsi="宋体"/>
        </w:rPr>
        <w:t>基于事件</w:t>
      </w:r>
      <w:r>
        <w:rPr>
          <w:rFonts w:ascii="宋体" w:hAnsi="宋体"/>
        </w:rPr>
        <w:t>-客流复杂场景驱动的线网突发事件高效应急处置技术</w:t>
      </w:r>
      <w:r>
        <w:rPr>
          <w:rFonts w:hint="eastAsia"/>
        </w:rPr>
        <w:t>包括突发事件影响下的大客流传播分析方法、大客流多级自适应精细化控制技术、</w:t>
      </w:r>
      <w:r>
        <w:t>一体化应急处置</w:t>
      </w:r>
      <w:r>
        <w:rPr>
          <w:rFonts w:hint="eastAsia"/>
        </w:rPr>
        <w:t>技术和流程化应急处置技术。</w:t>
      </w:r>
    </w:p>
    <w:p>
      <w:pPr>
        <w:spacing w:line="360" w:lineRule="auto"/>
        <w:ind w:firstLine="420" w:firstLineChars="200"/>
      </w:pPr>
      <w:r>
        <w:rPr>
          <w:rFonts w:hint="eastAsia"/>
        </w:rPr>
        <w:t>（</w:t>
      </w:r>
      <w:r>
        <w:t>4</w:t>
      </w:r>
      <w:r>
        <w:rPr>
          <w:rFonts w:hint="eastAsia"/>
        </w:rPr>
        <w:t>）基于大数据云计算的大规模路网协同应急指挥平台集成技术</w:t>
      </w:r>
    </w:p>
    <w:p>
      <w:pPr>
        <w:spacing w:line="360" w:lineRule="auto"/>
        <w:ind w:firstLine="420" w:firstLineChars="200"/>
        <w:rPr>
          <w:rFonts w:ascii="宋体" w:hAnsi="宋体" w:cstheme="minorEastAsia"/>
          <w:color w:val="000000" w:themeColor="text1"/>
          <w:sz w:val="24"/>
          <w14:textFill>
            <w14:solidFill>
              <w14:schemeClr w14:val="tx1"/>
            </w14:solidFill>
          </w14:textFill>
        </w:rPr>
      </w:pPr>
      <w:r>
        <w:rPr>
          <w:rFonts w:hint="eastAsia"/>
        </w:rPr>
        <w:t>包括城轨路网运营大数据云计算技术及系统、全自动全要素综合监视技术与系统以及多主体互操作应急协同指挥技术与系统。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24FD0"/>
    <w:multiLevelType w:val="multilevel"/>
    <w:tmpl w:val="1C824FD0"/>
    <w:lvl w:ilvl="0" w:tentative="0">
      <w:start w:val="1"/>
      <w:numFmt w:val="decimal"/>
      <w:lvlText w:val="%1."/>
      <w:lvlJc w:val="left"/>
      <w:pPr>
        <w:ind w:left="360" w:hanging="360"/>
      </w:pPr>
      <w:rPr>
        <w:rFonts w:hint="default" w:ascii="宋体" w:hAnsi="宋体"/>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081EF3"/>
    <w:multiLevelType w:val="multilevel"/>
    <w:tmpl w:val="35081E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7B42ED"/>
    <w:multiLevelType w:val="multilevel"/>
    <w:tmpl w:val="547B42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yM2IxNGU3NjAzN2ZiZjRkYzJiMzA0NzNhMWQ1NDIifQ=="/>
  </w:docVars>
  <w:rsids>
    <w:rsidRoot w:val="00A61B6E"/>
    <w:rsid w:val="00004595"/>
    <w:rsid w:val="000423ED"/>
    <w:rsid w:val="00046D6C"/>
    <w:rsid w:val="000503E4"/>
    <w:rsid w:val="0006690C"/>
    <w:rsid w:val="00075F2B"/>
    <w:rsid w:val="000B2E97"/>
    <w:rsid w:val="000F1E87"/>
    <w:rsid w:val="000F63AE"/>
    <w:rsid w:val="0012770F"/>
    <w:rsid w:val="0015745C"/>
    <w:rsid w:val="00177258"/>
    <w:rsid w:val="001E7545"/>
    <w:rsid w:val="001F707F"/>
    <w:rsid w:val="00223947"/>
    <w:rsid w:val="002458C5"/>
    <w:rsid w:val="00262861"/>
    <w:rsid w:val="00290C35"/>
    <w:rsid w:val="002A660A"/>
    <w:rsid w:val="002B1842"/>
    <w:rsid w:val="002B2442"/>
    <w:rsid w:val="00306B81"/>
    <w:rsid w:val="003354EE"/>
    <w:rsid w:val="00365CAC"/>
    <w:rsid w:val="0037733C"/>
    <w:rsid w:val="00381411"/>
    <w:rsid w:val="00382322"/>
    <w:rsid w:val="00392A72"/>
    <w:rsid w:val="003930D4"/>
    <w:rsid w:val="003B0BEF"/>
    <w:rsid w:val="003E293D"/>
    <w:rsid w:val="003E4277"/>
    <w:rsid w:val="003E6C7B"/>
    <w:rsid w:val="003F18A6"/>
    <w:rsid w:val="003F4EDA"/>
    <w:rsid w:val="00400CC8"/>
    <w:rsid w:val="0044650F"/>
    <w:rsid w:val="00450ED6"/>
    <w:rsid w:val="004B41E0"/>
    <w:rsid w:val="00505ECF"/>
    <w:rsid w:val="00514208"/>
    <w:rsid w:val="00525898"/>
    <w:rsid w:val="005267C8"/>
    <w:rsid w:val="005641D2"/>
    <w:rsid w:val="00564F57"/>
    <w:rsid w:val="00565025"/>
    <w:rsid w:val="005A6779"/>
    <w:rsid w:val="005B4584"/>
    <w:rsid w:val="005B7ABB"/>
    <w:rsid w:val="005C1688"/>
    <w:rsid w:val="005C537F"/>
    <w:rsid w:val="005F1DA7"/>
    <w:rsid w:val="00600258"/>
    <w:rsid w:val="00606EC0"/>
    <w:rsid w:val="00616A33"/>
    <w:rsid w:val="00622803"/>
    <w:rsid w:val="0066156A"/>
    <w:rsid w:val="00661899"/>
    <w:rsid w:val="006773B3"/>
    <w:rsid w:val="00677B5B"/>
    <w:rsid w:val="00683FD5"/>
    <w:rsid w:val="006842DA"/>
    <w:rsid w:val="006904AD"/>
    <w:rsid w:val="006A5101"/>
    <w:rsid w:val="006D0066"/>
    <w:rsid w:val="006D00B8"/>
    <w:rsid w:val="006D17F7"/>
    <w:rsid w:val="006E2356"/>
    <w:rsid w:val="007106F4"/>
    <w:rsid w:val="007137BB"/>
    <w:rsid w:val="00716001"/>
    <w:rsid w:val="00716934"/>
    <w:rsid w:val="00720820"/>
    <w:rsid w:val="00760256"/>
    <w:rsid w:val="007A35FC"/>
    <w:rsid w:val="007A78D2"/>
    <w:rsid w:val="007D0798"/>
    <w:rsid w:val="007D30F0"/>
    <w:rsid w:val="0081605C"/>
    <w:rsid w:val="008204F3"/>
    <w:rsid w:val="0082130C"/>
    <w:rsid w:val="00824C6A"/>
    <w:rsid w:val="0085645E"/>
    <w:rsid w:val="0089130A"/>
    <w:rsid w:val="008A4407"/>
    <w:rsid w:val="008B22FC"/>
    <w:rsid w:val="00930794"/>
    <w:rsid w:val="00930D98"/>
    <w:rsid w:val="009324BE"/>
    <w:rsid w:val="0095091F"/>
    <w:rsid w:val="009B3E6D"/>
    <w:rsid w:val="009D5259"/>
    <w:rsid w:val="00A0194B"/>
    <w:rsid w:val="00A039D2"/>
    <w:rsid w:val="00A21841"/>
    <w:rsid w:val="00A4572F"/>
    <w:rsid w:val="00A547BE"/>
    <w:rsid w:val="00A61B6E"/>
    <w:rsid w:val="00A6675D"/>
    <w:rsid w:val="00A82ACE"/>
    <w:rsid w:val="00AC078D"/>
    <w:rsid w:val="00AF6CC0"/>
    <w:rsid w:val="00B163C0"/>
    <w:rsid w:val="00B17302"/>
    <w:rsid w:val="00B427D7"/>
    <w:rsid w:val="00B4678C"/>
    <w:rsid w:val="00B47458"/>
    <w:rsid w:val="00B57C98"/>
    <w:rsid w:val="00B613CE"/>
    <w:rsid w:val="00B954CA"/>
    <w:rsid w:val="00BC1F72"/>
    <w:rsid w:val="00BF3C53"/>
    <w:rsid w:val="00C2372D"/>
    <w:rsid w:val="00C30299"/>
    <w:rsid w:val="00C31AD1"/>
    <w:rsid w:val="00C32CD9"/>
    <w:rsid w:val="00C42E60"/>
    <w:rsid w:val="00C5424F"/>
    <w:rsid w:val="00C5793B"/>
    <w:rsid w:val="00C86E59"/>
    <w:rsid w:val="00CA2D6C"/>
    <w:rsid w:val="00CD2D11"/>
    <w:rsid w:val="00D11F0F"/>
    <w:rsid w:val="00D2088D"/>
    <w:rsid w:val="00D33E6B"/>
    <w:rsid w:val="00D50DDE"/>
    <w:rsid w:val="00D578F7"/>
    <w:rsid w:val="00D87FB0"/>
    <w:rsid w:val="00D97BAC"/>
    <w:rsid w:val="00DA594D"/>
    <w:rsid w:val="00DB0024"/>
    <w:rsid w:val="00DC013E"/>
    <w:rsid w:val="00DC5D9D"/>
    <w:rsid w:val="00DD53B8"/>
    <w:rsid w:val="00E0666F"/>
    <w:rsid w:val="00E309F3"/>
    <w:rsid w:val="00E412AA"/>
    <w:rsid w:val="00E6250E"/>
    <w:rsid w:val="00E8276B"/>
    <w:rsid w:val="00E9168C"/>
    <w:rsid w:val="00E9514A"/>
    <w:rsid w:val="00EB0A5B"/>
    <w:rsid w:val="00EC2D68"/>
    <w:rsid w:val="00EC631D"/>
    <w:rsid w:val="00ED799B"/>
    <w:rsid w:val="00EE1C0B"/>
    <w:rsid w:val="00EE2074"/>
    <w:rsid w:val="00F10172"/>
    <w:rsid w:val="00F21C6D"/>
    <w:rsid w:val="00F27356"/>
    <w:rsid w:val="00F603AD"/>
    <w:rsid w:val="00F778ED"/>
    <w:rsid w:val="00F85292"/>
    <w:rsid w:val="00FD5F2B"/>
    <w:rsid w:val="00FE57C2"/>
    <w:rsid w:val="08725C52"/>
    <w:rsid w:val="0AFB3F46"/>
    <w:rsid w:val="11FC55B2"/>
    <w:rsid w:val="12850115"/>
    <w:rsid w:val="19F85670"/>
    <w:rsid w:val="1E295F38"/>
    <w:rsid w:val="24044891"/>
    <w:rsid w:val="29CA4E9B"/>
    <w:rsid w:val="2A693A20"/>
    <w:rsid w:val="34620C30"/>
    <w:rsid w:val="36543529"/>
    <w:rsid w:val="38351B40"/>
    <w:rsid w:val="40453D92"/>
    <w:rsid w:val="48B93350"/>
    <w:rsid w:val="4A8304E5"/>
    <w:rsid w:val="4E76772F"/>
    <w:rsid w:val="5896749A"/>
    <w:rsid w:val="5D417D61"/>
    <w:rsid w:val="60333C0A"/>
    <w:rsid w:val="7C7C270C"/>
    <w:rsid w:val="7CD80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Plain Text"/>
    <w:basedOn w:val="1"/>
    <w:link w:val="23"/>
    <w:qFormat/>
    <w:uiPriority w:val="99"/>
    <w:pPr>
      <w:spacing w:line="360" w:lineRule="auto"/>
      <w:ind w:firstLine="480" w:firstLineChars="200"/>
    </w:pPr>
    <w:rPr>
      <w:rFonts w:ascii="仿宋_GB2312"/>
    </w:r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annotation subject"/>
    <w:basedOn w:val="4"/>
    <w:next w:val="4"/>
    <w:link w:val="19"/>
    <w:semiHidden/>
    <w:unhideWhenUsed/>
    <w:qFormat/>
    <w:uiPriority w:val="99"/>
    <w:rPr>
      <w:b/>
      <w:bCs/>
    </w:rPr>
  </w:style>
  <w:style w:type="table" w:styleId="11">
    <w:name w:val="Table Grid"/>
    <w:basedOn w:val="10"/>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666666"/>
      <w:u w:val="none"/>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标题 3 字符"/>
    <w:basedOn w:val="12"/>
    <w:link w:val="3"/>
    <w:semiHidden/>
    <w:qFormat/>
    <w:uiPriority w:val="9"/>
    <w:rPr>
      <w:rFonts w:ascii="Times New Roman" w:hAnsi="Times New Roman" w:eastAsia="宋体" w:cs="Times New Roman"/>
      <w:b/>
      <w:bCs/>
      <w:sz w:val="32"/>
      <w:szCs w:val="32"/>
    </w:rPr>
  </w:style>
  <w:style w:type="character" w:customStyle="1" w:styleId="18">
    <w:name w:val="批注文字 字符"/>
    <w:basedOn w:val="12"/>
    <w:link w:val="4"/>
    <w:semiHidden/>
    <w:qFormat/>
    <w:uiPriority w:val="99"/>
    <w:rPr>
      <w:rFonts w:ascii="Times New Roman" w:hAnsi="Times New Roman" w:eastAsia="宋体" w:cs="Times New Roman"/>
      <w:szCs w:val="24"/>
    </w:rPr>
  </w:style>
  <w:style w:type="character" w:customStyle="1" w:styleId="19">
    <w:name w:val="批注主题 字符"/>
    <w:basedOn w:val="18"/>
    <w:link w:val="9"/>
    <w:semiHidden/>
    <w:qFormat/>
    <w:uiPriority w:val="99"/>
    <w:rPr>
      <w:rFonts w:ascii="Times New Roman" w:hAnsi="Times New Roman" w:eastAsia="宋体" w:cs="Times New Roman"/>
      <w:b/>
      <w:bCs/>
      <w:szCs w:val="24"/>
    </w:rPr>
  </w:style>
  <w:style w:type="character" w:customStyle="1" w:styleId="20">
    <w:name w:val="批注框文本 字符"/>
    <w:basedOn w:val="12"/>
    <w:link w:val="6"/>
    <w:semiHidden/>
    <w:qFormat/>
    <w:uiPriority w:val="99"/>
    <w:rPr>
      <w:rFonts w:ascii="Times New Roman" w:hAnsi="Times New Roman" w:eastAsia="宋体" w:cs="Times New Roman"/>
      <w:sz w:val="18"/>
      <w:szCs w:val="18"/>
    </w:rPr>
  </w:style>
  <w:style w:type="character" w:customStyle="1" w:styleId="21">
    <w:name w:val="标题 1 字符"/>
    <w:basedOn w:val="12"/>
    <w:link w:val="2"/>
    <w:qFormat/>
    <w:uiPriority w:val="9"/>
    <w:rPr>
      <w:rFonts w:ascii="Times New Roman" w:hAnsi="Times New Roman" w:eastAsia="宋体" w:cs="Times New Roman"/>
      <w:b/>
      <w:bCs/>
      <w:kern w:val="44"/>
      <w:sz w:val="44"/>
      <w:szCs w:val="44"/>
    </w:rPr>
  </w:style>
  <w:style w:type="paragraph" w:styleId="22">
    <w:name w:val="List Paragraph"/>
    <w:basedOn w:val="1"/>
    <w:qFormat/>
    <w:uiPriority w:val="34"/>
    <w:pPr>
      <w:ind w:firstLine="420" w:firstLineChars="200"/>
    </w:pPr>
  </w:style>
  <w:style w:type="character" w:customStyle="1" w:styleId="23">
    <w:name w:val="纯文本 字符"/>
    <w:basedOn w:val="12"/>
    <w:link w:val="5"/>
    <w:qFormat/>
    <w:uiPriority w:val="99"/>
    <w:rPr>
      <w:rFonts w:ascii="仿宋_GB2312"/>
      <w:kern w:val="2"/>
      <w:sz w:val="21"/>
      <w:szCs w:val="24"/>
    </w:rPr>
  </w:style>
  <w:style w:type="paragraph" w:customStyle="1" w:styleId="2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5">
    <w:name w:val="正文01"/>
    <w:basedOn w:val="1"/>
    <w:qFormat/>
    <w:uiPriority w:val="0"/>
    <w:pPr>
      <w:spacing w:line="30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1002</Words>
  <Characters>1433</Characters>
  <Lines>11</Lines>
  <Paragraphs>3</Paragraphs>
  <TotalTime>1</TotalTime>
  <ScaleCrop>false</ScaleCrop>
  <LinksUpToDate>false</LinksUpToDate>
  <CharactersWithSpaces>1518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2022-06-28T09:42:00Z</dcterms:created>
  <dc:creator>Vincent Zhang</dc:creator>
  <cp:lastModifiedBy>keyond</cp:lastModifiedBy>
  <dcterms:modified xsi:type="dcterms:W3CDTF">2022-06-28T09:49:54Z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C6173E5CE2A8435BA7DB2E0CF54B4E3B</vt:lpwstr>
  </property>
</Properties>
</file>