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雄安未来之城场景汇组委会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关于举办“雄安国际下一代网络技术（IPv6）应用大赛”的公告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tabs>
          <w:tab w:val="left" w:pos="426"/>
        </w:tabs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50528526"/>
      <w:r>
        <w:rPr>
          <w:rFonts w:hint="eastAsia" w:ascii="Times New Roman" w:hAnsi="Times New Roman" w:eastAsia="仿宋_GB2312" w:cs="Times New Roman"/>
          <w:sz w:val="32"/>
          <w:szCs w:val="32"/>
        </w:rPr>
        <w:t>为加快推动雄安新区高质量建设、高水平管理、高质量疏解发展，把雄安新区建设成为创新之城、魅力之城、未来之城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使雄安新区成为新时代的创新高地和创业热土，河北省委、省政府决定打造雄安未来之城场景汇，组织开展系列大赛，公开征集国内外最先进的技术、产品、装备和解决方案，加快推动创新资源要素在雄安汇聚。</w:t>
      </w:r>
      <w:r>
        <w:rPr>
          <w:rFonts w:ascii="Times New Roman" w:hAnsi="Times New Roman" w:eastAsia="仿宋_GB2312" w:cs="Times New Roman"/>
          <w:sz w:val="32"/>
          <w:szCs w:val="32"/>
        </w:rPr>
        <w:t>雄安新区作为IPv6国家综合试点城市，从建设之初就坚持全域IPv6部署，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新建设施要求全部支持IPv6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把</w:t>
      </w:r>
      <w:r>
        <w:rPr>
          <w:rFonts w:ascii="Times New Roman" w:hAnsi="Times New Roman" w:eastAsia="仿宋_GB2312" w:cs="Times New Roman"/>
          <w:sz w:val="32"/>
          <w:szCs w:val="32"/>
        </w:rPr>
        <w:t>雄安新区打造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成为</w:t>
      </w:r>
      <w:r>
        <w:rPr>
          <w:rFonts w:ascii="Times New Roman" w:hAnsi="Times New Roman" w:eastAsia="仿宋_GB2312" w:cs="Times New Roman"/>
          <w:sz w:val="32"/>
          <w:szCs w:val="32"/>
        </w:rPr>
        <w:t>下一代网络技术和产品策源地、应用示范区，实现全域纯IPv6城市的目标，</w:t>
      </w:r>
      <w:r>
        <w:rPr>
          <w:rFonts w:hint="eastAsia" w:eastAsia="仿宋_GB2312" w:cs="Times New Roman"/>
          <w:bCs/>
          <w:color w:val="000000"/>
          <w:sz w:val="32"/>
          <w:szCs w:val="32"/>
        </w:rPr>
        <w:t>雄安未来之城场景汇组委会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</w:t>
      </w:r>
      <w:r>
        <w:rPr>
          <w:rFonts w:ascii="Times New Roman" w:hAnsi="Times New Roman" w:eastAsia="仿宋_GB2312" w:cs="Times New Roman"/>
          <w:sz w:val="32"/>
          <w:szCs w:val="32"/>
        </w:rPr>
        <w:t>举办雄安国际下一代网络技术（IPv6）应用大赛，面向国内外企事业单位、科研院所、高校及个人征集IPv6应用优秀技术成果，有关事项公告如下。</w:t>
      </w:r>
    </w:p>
    <w:p>
      <w:pPr>
        <w:pStyle w:val="8"/>
        <w:tabs>
          <w:tab w:val="left" w:pos="426"/>
        </w:tabs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一、大赛组织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主办单位</w:t>
      </w:r>
      <w:r>
        <w:rPr>
          <w:rFonts w:ascii="Times New Roman" w:hAnsi="Times New Roman" w:eastAsia="仿宋_GB2312" w:cs="Times New Roman"/>
          <w:sz w:val="32"/>
          <w:szCs w:val="32"/>
        </w:rPr>
        <w:t>：雄安未来之城场景汇组委会。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承办单位</w:t>
      </w:r>
      <w:r>
        <w:rPr>
          <w:rFonts w:ascii="Times New Roman" w:hAnsi="Times New Roman" w:eastAsia="仿宋_GB2312" w:cs="Times New Roman"/>
          <w:sz w:val="32"/>
          <w:szCs w:val="32"/>
        </w:rPr>
        <w:t>：河北雄安新区管理委员会、中国雄安集团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雄安新区智能城市创新联合会。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支撑单位</w:t>
      </w:r>
      <w:r>
        <w:rPr>
          <w:rFonts w:ascii="Times New Roman" w:hAnsi="Times New Roman" w:eastAsia="仿宋_GB2312" w:cs="Times New Roman"/>
          <w:sz w:val="32"/>
          <w:szCs w:val="32"/>
        </w:rPr>
        <w:t>：亚太互联网络信息中心（APNIC）、中国移动、中国联通、中国电信、财达资本等。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二、征集方向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按照雄安新区打造全域感知、全域IPv6物联网城市的目标，以及建设与应用需求，推动IPv6软件技术、硬件产品、新应用解决方案等在新区试点试验，加快构建IPv6创新生态链，重点征集包括但不限于如下内容：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（一）IPv6技术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基于雄安新区纯IPv6的网络环境，征集IPv6基础技术、创新性应用技术等，包括但不限于未来网络、算网融合、IPv6网络切片、SRv6等新技术。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（二）</w:t>
      </w:r>
      <w:bookmarkStart w:id="1" w:name="_Hlk154215312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IPv6终端产品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1.IPv6芯片，征集包括但不限于通信模组、应用芯片，打造自主创新的安全通信能力。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2.IPv6+卫星互联网终端产品，打造安全、可信、完整的空天地一体化网络通信接入体系。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3.IPv6+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智慧城市应用终端，基于I</w:t>
      </w:r>
      <w:r>
        <w:rPr>
          <w:rFonts w:ascii="Times New Roman" w:hAnsi="Times New Roman" w:eastAsia="仿宋_GB2312" w:cs="Times New Roman"/>
          <w:sz w:val="32"/>
          <w:szCs w:val="32"/>
        </w:rPr>
        <w:t>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的，用于城市水务、交通、能源、建筑安全等城市管理、运行方方面面的各类智能感知终端产品，能够实现对城市的实时精准感知。</w:t>
      </w:r>
    </w:p>
    <w:bookmarkEnd w:id="1"/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（三）</w:t>
      </w:r>
      <w:bookmarkStart w:id="2" w:name="_Hlk154215408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IPv6+应用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面向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政务应用、智慧能源、智慧家居、智慧金融、医疗健康、交通出行、企业生产、网络安全</w:t>
      </w:r>
      <w:r>
        <w:rPr>
          <w:rFonts w:ascii="Times New Roman" w:hAnsi="Times New Roman" w:eastAsia="仿宋_GB2312" w:cs="Times New Roman"/>
          <w:sz w:val="32"/>
          <w:szCs w:val="32"/>
        </w:rPr>
        <w:t>等智慧城市应用场景，征集IPv6应用解决方案。包括但不限于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IPv6+数字家电，支持开展IPv6数字家电场景试点示范应用的解决方案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IPv6+水电气表，采用IPv6+区块链+NB-IoT方式建设，统一接入到雄安新区物联网平台，解决多表数据采集传输以及一键缴费等问题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IPv6+数字道路，通过车辆和路侧设备间的配合，使车路云成为整体，实现全局优化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IPv6+卫星互联网，推动IPv6卫星互联网的试点示范场景应用，打造安全、可信、完整的空天地一体化网络接入体系。</w:t>
      </w:r>
      <w:bookmarkEnd w:id="2"/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三、申报要求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（一）申报主体要求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150259283"/>
      <w:r>
        <w:rPr>
          <w:rFonts w:ascii="Times New Roman" w:hAnsi="Times New Roman" w:eastAsia="仿宋_GB2312" w:cs="Times New Roman"/>
          <w:sz w:val="32"/>
          <w:szCs w:val="32"/>
        </w:rPr>
        <w:t>本次征集面向全球通信及相关领域企事业单位、科研机构、高校等单位、个人和联合体开放。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1.申报主体为企事业单位的: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（1）应具有独立法人资格。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（2）具备较强科技创新能力，具有核心技术、拥有自主（或依法受让）知识产权。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（3）具有与申报赛道相关产品的生产制造、安装调试、售后服务等能力。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（4）无不良社会信用记录。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2.自然人申报为国内外高等院校、科研院所等单位具备技术 研发能力的团体或个人。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3.联合申报的：两个或两个以上单位、自然人可组成联合体参赛，均须满足上述申报要求。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4.申报数量要求：同一个主体可申报多个赛道，每个赛道申报参赛作品不超过3个。</w:t>
      </w:r>
    </w:p>
    <w:bookmarkEnd w:id="3"/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（二）申报作品要求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.IP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v6技术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（1）参赛技术应在技术方面有较大突破，具备一定的成熟度和可推广性。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（2）应</w:t>
      </w:r>
      <w:r>
        <w:rPr>
          <w:rFonts w:ascii="Times New Roman" w:hAnsi="Times New Roman" w:eastAsia="仿宋_GB2312" w:cs="Times New Roman"/>
          <w:sz w:val="32"/>
          <w:szCs w:val="32"/>
        </w:rPr>
        <w:t>提供技术应用场景描述、技术标准、落地所需配套条件等。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.IP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v6终端产品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（1）应具备一定创新性、成熟度和可推广性。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</w:rPr>
        <w:t>应具备可落地应用能力，可实现批量化生产，且具备应用场景实用性。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）应</w:t>
      </w:r>
      <w:r>
        <w:rPr>
          <w:rFonts w:ascii="Times New Roman" w:hAnsi="Times New Roman" w:eastAsia="仿宋_GB2312" w:cs="Times New Roman"/>
          <w:sz w:val="32"/>
          <w:szCs w:val="32"/>
        </w:rPr>
        <w:t>提供核心技术参数、性能、创新性以及参赛样机等。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.IP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v6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应用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（1）应能够</w:t>
      </w:r>
      <w:r>
        <w:rPr>
          <w:rFonts w:ascii="Times New Roman" w:hAnsi="Times New Roman" w:eastAsia="仿宋_GB2312" w:cs="Times New Roman"/>
          <w:sz w:val="32"/>
          <w:szCs w:val="32"/>
        </w:rPr>
        <w:t>解决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行业内</w:t>
      </w:r>
      <w:r>
        <w:rPr>
          <w:rFonts w:ascii="Times New Roman" w:hAnsi="Times New Roman" w:eastAsia="仿宋_GB2312" w:cs="Times New Roman"/>
          <w:sz w:val="32"/>
          <w:szCs w:val="32"/>
        </w:rPr>
        <w:t>痛点问题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，具备一定的成熟度和可推广性。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（2）应</w:t>
      </w:r>
      <w:r>
        <w:rPr>
          <w:rFonts w:ascii="Times New Roman" w:hAnsi="Times New Roman" w:eastAsia="仿宋_GB2312" w:cs="Times New Roman"/>
          <w:sz w:val="32"/>
          <w:szCs w:val="32"/>
        </w:rPr>
        <w:t>提供方案整体架构、所使用的关键技术、产品或平台以及技术优势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</w:t>
      </w:r>
      <w:r>
        <w:rPr>
          <w:rFonts w:ascii="Times New Roman" w:hAnsi="Times New Roman" w:eastAsia="仿宋_GB2312" w:cs="Times New Roman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描述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实现的可量化价值，如有实际落地应用案例，可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采用演示文稿、图片、视频等形式</w:t>
      </w:r>
      <w:r>
        <w:rPr>
          <w:rFonts w:ascii="Times New Roman" w:hAnsi="Times New Roman" w:eastAsia="仿宋_GB2312" w:cs="Times New Roman"/>
          <w:sz w:val="32"/>
          <w:szCs w:val="32"/>
        </w:rPr>
        <w:t>进行介绍。必要时需提供相关专利、著作权或证明材料。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四、评选方式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（一）评选条件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</w:t>
      </w:r>
      <w:r>
        <w:rPr>
          <w:rFonts w:ascii="Times New Roman" w:hAnsi="Times New Roman" w:eastAsia="仿宋_GB2312" w:cs="Times New Roman"/>
          <w:sz w:val="32"/>
          <w:szCs w:val="32"/>
        </w:rPr>
        <w:t>产品、技术以及解决方案评选指标包括技术创新性、可行性、成熟度以及应用推广的空间。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（二）评审专家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本次评选的评委会由长期从事通信及相关领域理论研究、技术研发、应用推广的学者、行业专家、具有相关领域风投经验的机构投资人、具有应用需求的北京非首都功能疏解单位组成。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五、奖项设置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4" w:name="_Hlk150259328"/>
      <w:r>
        <w:rPr>
          <w:rFonts w:ascii="Times New Roman" w:hAnsi="Times New Roman" w:eastAsia="仿宋_GB2312" w:cs="Times New Roman"/>
          <w:sz w:val="32"/>
          <w:szCs w:val="32"/>
        </w:rPr>
        <w:t>赛事设置一等奖1名、二等奖3名、三等奖6名、优秀奖若干名，颁发证书和奖金。</w:t>
      </w:r>
    </w:p>
    <w:bookmarkEnd w:id="4"/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六、配套服务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5" w:name="_Hlk150259352"/>
      <w:r>
        <w:rPr>
          <w:rFonts w:ascii="Times New Roman" w:hAnsi="Times New Roman" w:eastAsia="仿宋_GB2312" w:cs="Times New Roman"/>
          <w:sz w:val="32"/>
          <w:szCs w:val="32"/>
        </w:rPr>
        <w:t>给予参赛获奖作品以下支持措施：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（一）媒体宣传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通过中央和河北省主流媒体给予宣传报道，并在未来之城场景汇网站宣传发布。发挥新区独特优势，结合各地来新区考察调研，帮助提升知名度。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（二）入驻雄安新区智能网联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大厦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1.优先推荐入驻</w:t>
      </w:r>
      <w:bookmarkStart w:id="6" w:name="_Hlk150259388"/>
      <w:r>
        <w:rPr>
          <w:rFonts w:ascii="Times New Roman" w:hAnsi="Times New Roman" w:eastAsia="仿宋_GB2312" w:cs="Times New Roman"/>
          <w:sz w:val="32"/>
          <w:szCs w:val="32"/>
        </w:rPr>
        <w:t>雄安新区智能网联</w:t>
      </w:r>
      <w:bookmarkEnd w:id="6"/>
      <w:r>
        <w:rPr>
          <w:rFonts w:ascii="Times New Roman" w:hAnsi="Times New Roman" w:eastAsia="仿宋_GB2312" w:cs="Times New Roman"/>
          <w:sz w:val="32"/>
          <w:szCs w:val="32"/>
        </w:rPr>
        <w:t>大厦，并配套享受办公租金、人才公寓等相应优惠政策。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2.在雄安新区城市计算中心展厅优先展示、宣传、推广。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3.优先使用智能网联大厦培训、会议等公共服务设施。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4.优先为高等院校、科研院所及个人的参赛作品提供孵化转化等服务。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（三）应用推广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优先推荐在新区数字道路、充电设施、网络基础设施，以及各类行业智能终端等相关需求项目中应用，并持续开放更多应用场景，支持获奖作品开展试点示范。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（四）融资支持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对于进入复赛、有市场潜力的项目，优先推荐合作投资机构金融机构对接，将在赛后举办专场投资对接会进行落实。鼓励双方进行投融资合作，互利共享，促进项目产业化落地。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（五）成果交易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对参赛作品在未来之城场景汇综合服务平台提供展示、评价，可在新区科技成果转化交易中心、未来之城场景汇综合服务平台等进行交易，促成智力成果转化应用。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（六）政策支持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1.优先列入国家IPv6综合试点城市应用成果案例。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2.对参赛成果在雄安孵化转化的单位，给予人才引进、税收减免、企业上市绿色通道、企业融资、科研设计、投融资等相应优惠政策（详见雄安未来之城场景汇网站）。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3.对于落地新区的单位及其产品，支持其在新区推广，按照相关政策对于采购单位给予奖励。</w:t>
      </w:r>
    </w:p>
    <w:bookmarkEnd w:id="5"/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七、征集时间及资料提交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（一）征集递选阶段（2023年12月-2024年3月）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面向全球开放征集，各申报单位于2023年3月31日前登录雄安汇官方网站，智慧城市大赛报名专栏填写报名材料。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（二）预审初赛阶段（2024年3月-4月）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预审和初赛采取书面和在线评审的方式，大赛工作组对申报单位参赛资格进行审核，审核通过的参赛作品由评审专家组按赛道各评选出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若干</w:t>
      </w:r>
      <w:r>
        <w:rPr>
          <w:rFonts w:ascii="Times New Roman" w:hAnsi="Times New Roman" w:eastAsia="仿宋_GB2312" w:cs="Times New Roman"/>
          <w:sz w:val="32"/>
          <w:szCs w:val="32"/>
        </w:rPr>
        <w:t>项目进入决赛，并参与在雄安新区组织的比赛和应用推广活动。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三）决赛阶段（2024年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4月-</w:t>
      </w:r>
      <w:bookmarkStart w:id="7" w:name="_GoBack"/>
      <w:bookmarkEnd w:id="7"/>
      <w:r>
        <w:rPr>
          <w:rFonts w:ascii="Times New Roman" w:hAnsi="Times New Roman" w:eastAsia="楷体_GB2312" w:cs="Times New Roman"/>
          <w:sz w:val="32"/>
          <w:szCs w:val="32"/>
        </w:rPr>
        <w:t>5月）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进入决赛的项目，结合现场答辩情况，评定奖项，颁发证书和奖金。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（四）同步对接推广阶段（</w:t>
      </w:r>
      <w:r>
        <w:rPr>
          <w:rFonts w:ascii="Times New Roman" w:hAnsi="Times New Roman" w:eastAsia="楷体_GB2312" w:cs="Times New Roman"/>
          <w:sz w:val="32"/>
          <w:szCs w:val="32"/>
        </w:rPr>
        <w:t>2023年12月起）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1.组织各赛道入围项目与“雄安汇·智能网联大厦”主题楼宇对接洽谈，给予租金、人才等优惠政策。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2.对接雄安新区网络基础设施、城市建筑等相关项目，推进入围项目在雄安新区应用落地。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3.组织相关项目对接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私募股权、风险投资、产业基金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等投融资机构，对入围项目给予融资支持。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八、有关事项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1.本次大赛按照自愿原则参赛，参赛主体请于202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日前登录雄安未来之城场景汇大赛网站报名，填写报名申请书，并提交相关材料。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2.本次大赛不收取任何费用，其他费用自理。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本次大赛最终解释权归大赛主办单位所有。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.咨询联系人：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大赛负责厅局联系人：河北雄安新区改革发展局</w:t>
      </w:r>
    </w:p>
    <w:p>
      <w:pPr>
        <w:pStyle w:val="2"/>
        <w:spacing w:line="580" w:lineRule="exact"/>
        <w:ind w:firstLine="3840" w:firstLineChars="1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王子轩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19933330206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报名咨询：赵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19933333112 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大赛报名网站技术咨询：柴立身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19003205288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I</w:t>
      </w:r>
      <w:r>
        <w:rPr>
          <w:rFonts w:ascii="Times New Roman" w:hAnsi="Times New Roman" w:eastAsia="仿宋_GB2312" w:cs="Times New Roman"/>
          <w:sz w:val="32"/>
          <w:szCs w:val="32"/>
        </w:rPr>
        <w:t>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v6技术</w:t>
      </w:r>
      <w:r>
        <w:rPr>
          <w:rFonts w:ascii="Times New Roman" w:hAnsi="Times New Roman" w:eastAsia="仿宋_GB2312" w:cs="Times New Roman"/>
          <w:sz w:val="32"/>
          <w:szCs w:val="32"/>
        </w:rPr>
        <w:t>申报书</w:t>
      </w:r>
    </w:p>
    <w:p>
      <w:pPr>
        <w:spacing w:line="580" w:lineRule="exact"/>
        <w:ind w:left="1983" w:leftChars="792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2.IPv6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终端产品</w:t>
      </w:r>
      <w:r>
        <w:rPr>
          <w:rFonts w:ascii="Times New Roman" w:hAnsi="Times New Roman" w:eastAsia="仿宋_GB2312" w:cs="Times New Roman"/>
          <w:sz w:val="32"/>
          <w:szCs w:val="32"/>
        </w:rPr>
        <w:t>申报书</w:t>
      </w:r>
    </w:p>
    <w:p>
      <w:pPr>
        <w:spacing w:line="580" w:lineRule="exact"/>
        <w:ind w:left="1558" w:leftChars="742" w:firstLine="140" w:firstLineChars="4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IPv6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+应用</w:t>
      </w:r>
      <w:r>
        <w:rPr>
          <w:rFonts w:ascii="Times New Roman" w:hAnsi="Times New Roman" w:eastAsia="仿宋_GB2312" w:cs="Times New Roman"/>
          <w:sz w:val="32"/>
          <w:szCs w:val="32"/>
        </w:rPr>
        <w:t>申报书</w:t>
      </w:r>
    </w:p>
    <w:p>
      <w:pPr>
        <w:widowControl w:val="0"/>
        <w:adjustRightInd w:val="0"/>
        <w:snapToGrid w:val="0"/>
        <w:spacing w:line="600" w:lineRule="exact"/>
        <w:ind w:firstLine="1050" w:firstLineChars="500"/>
        <w:jc w:val="right"/>
        <w:textAlignment w:val="auto"/>
        <w:rPr>
          <w:rFonts w:hint="eastAsia" w:ascii="仿宋" w:hAnsi="仿宋" w:eastAsia="仿宋" w:cs="仿宋"/>
          <w:bCs/>
          <w:szCs w:val="32"/>
          <w:highlight w:val="none"/>
        </w:rPr>
      </w:pPr>
      <w:r>
        <w:rPr>
          <w:rFonts w:hint="eastAsia" w:ascii="仿宋" w:hAnsi="仿宋" w:eastAsia="仿宋" w:cs="仿宋"/>
          <w:bCs/>
          <w:szCs w:val="32"/>
          <w:highlight w:val="none"/>
        </w:rPr>
        <w:t xml:space="preserve">                    </w:t>
      </w:r>
    </w:p>
    <w:p>
      <w:pPr>
        <w:widowControl w:val="0"/>
        <w:adjustRightInd w:val="0"/>
        <w:snapToGrid w:val="0"/>
        <w:spacing w:line="600" w:lineRule="exact"/>
        <w:ind w:firstLine="1050" w:firstLineChars="500"/>
        <w:jc w:val="right"/>
        <w:textAlignment w:val="auto"/>
        <w:rPr>
          <w:rFonts w:hint="eastAsia" w:ascii="仿宋" w:hAnsi="仿宋" w:eastAsia="仿宋" w:cs="仿宋"/>
          <w:bCs/>
          <w:szCs w:val="32"/>
          <w:highlight w:val="none"/>
        </w:rPr>
      </w:pPr>
    </w:p>
    <w:p>
      <w:pPr>
        <w:widowControl w:val="0"/>
        <w:adjustRightInd w:val="0"/>
        <w:snapToGrid w:val="0"/>
        <w:spacing w:line="600" w:lineRule="exact"/>
        <w:ind w:firstLine="1606" w:firstLineChars="500"/>
        <w:jc w:val="righ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雄安未来之城场景汇组委会</w:t>
      </w:r>
    </w:p>
    <w:p>
      <w:pPr>
        <w:widowControl w:val="0"/>
        <w:adjustRightInd w:val="0"/>
        <w:snapToGrid w:val="0"/>
        <w:spacing w:line="600" w:lineRule="exact"/>
        <w:ind w:firstLine="1600" w:firstLineChars="500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           2023年12月28日</w:t>
      </w: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</w:rPr>
        <w:t>I</w:t>
      </w:r>
      <w:r>
        <w:rPr>
          <w:rFonts w:ascii="Times New Roman" w:hAnsi="Times New Roman" w:eastAsia="方正小标宋简体" w:cs="Times New Roman"/>
          <w:sz w:val="56"/>
          <w:szCs w:val="56"/>
        </w:rPr>
        <w:t>P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v6技术</w:t>
      </w:r>
      <w:r>
        <w:rPr>
          <w:rFonts w:ascii="Times New Roman" w:hAnsi="Times New Roman" w:eastAsia="方正小标宋简体" w:cs="Times New Roman"/>
          <w:sz w:val="56"/>
          <w:szCs w:val="56"/>
        </w:rPr>
        <w:t>申报书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tabs>
          <w:tab w:val="left" w:pos="6499"/>
        </w:tabs>
        <w:spacing w:line="600" w:lineRule="exact"/>
        <w:jc w:val="left"/>
        <w:rPr>
          <w:rFonts w:eastAsia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申报场景：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年   月   日    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sz w:val="32"/>
          <w:szCs w:val="32"/>
          <w:u w:val="single"/>
        </w:rPr>
        <w:sectPr>
          <w:footerReference r:id="rId3" w:type="default"/>
          <w:pgSz w:w="11906" w:h="16838"/>
          <w:pgMar w:top="1758" w:right="1474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34" w:lineRule="exact"/>
        <w:jc w:val="center"/>
        <w:rPr>
          <w:rFonts w:eastAsia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承 诺 书</w:t>
      </w:r>
    </w:p>
    <w:p>
      <w:pPr>
        <w:spacing w:line="634" w:lineRule="exact"/>
        <w:jc w:val="center"/>
        <w:rPr>
          <w:rFonts w:eastAsia="方正小标宋_GBK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单位名称：</w:t>
      </w: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634" w:lineRule="exact"/>
        <w:jc w:val="center"/>
        <w:rPr>
          <w:rFonts w:eastAsia="方正小标宋_GBK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1.我单位近三年财务状况良好，在质量、安全、信誉和社会责任等方面无不良记录。</w:t>
      </w:r>
    </w:p>
    <w:p>
      <w:pPr>
        <w:spacing w:line="634" w:lineRule="exact"/>
        <w:ind w:firstLine="683" w:firstLineChars="200"/>
        <w:rPr>
          <w:rFonts w:eastAsia="仿宋_GB2312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2.我单位的所有申报材料均真实可靠，符合我单位实际情况，如有不实，愿承担相应的责任。</w:t>
      </w: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3.我单位申报材料中涉及的产品无成果、权属（专利）争议或纠纷。</w:t>
      </w: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4.在不涉</w:t>
      </w:r>
    </w:p>
    <w:p>
      <w:pPr>
        <w:spacing w:line="634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及商业机密的情况下，自愿与其他单位分享经验。</w:t>
      </w: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634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单位盖章</w:t>
      </w: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eastAsia="黑体"/>
          <w:b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28"/>
        </w:rPr>
        <w:br w:type="page"/>
      </w:r>
    </w:p>
    <w:p>
      <w:pPr>
        <w:autoSpaceDE w:val="0"/>
        <w:autoSpaceDN w:val="0"/>
        <w:spacing w:before="30" w:line="560" w:lineRule="exact"/>
        <w:jc w:val="left"/>
        <w:rPr>
          <w:rFonts w:eastAsia="黑体"/>
          <w:b/>
          <w:bCs/>
          <w:kern w:val="0"/>
          <w:sz w:val="28"/>
          <w:szCs w:val="28"/>
        </w:rPr>
      </w:pPr>
    </w:p>
    <w:tbl>
      <w:tblPr>
        <w:tblStyle w:val="11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402"/>
        <w:gridCol w:w="7"/>
        <w:gridCol w:w="2817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gridSpan w:val="5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402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402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未来网络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算网融合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网络切片</w:t>
            </w:r>
          </w:p>
          <w:p>
            <w:pPr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SRv6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产业化阶段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5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实验室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小试中试 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小规模推广</w:t>
            </w:r>
          </w:p>
          <w:p>
            <w:pPr>
              <w:spacing w:line="5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规模化生产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3年内可上市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创新创意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项目/企业估值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已融资情况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融资需求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单位/团队简介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spacing w:line="500" w:lineRule="exact"/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63" w:type="dxa"/>
            <w:vMerge w:val="continue"/>
            <w:vAlign w:val="center"/>
          </w:tcPr>
          <w:p>
            <w:pPr>
              <w:pStyle w:val="10"/>
              <w:spacing w:line="500" w:lineRule="exact"/>
              <w:ind w:firstLine="0"/>
              <w:rPr>
                <w:rFonts w:asci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63" w:type="dxa"/>
            <w:vMerge w:val="continue"/>
            <w:vAlign w:val="center"/>
          </w:tcPr>
          <w:p>
            <w:pPr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应用实践的场景、时间、地区、成效等。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663" w:type="dxa"/>
            <w:vMerge w:val="continue"/>
            <w:vAlign w:val="center"/>
          </w:tcPr>
          <w:p>
            <w:pPr>
              <w:pStyle w:val="10"/>
              <w:spacing w:line="500" w:lineRule="exact"/>
              <w:ind w:firstLine="0"/>
              <w:rPr>
                <w:rFonts w:asci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autoSpaceDE w:val="0"/>
              <w:autoSpaceDN w:val="0"/>
              <w:spacing w:before="30" w:line="560" w:lineRule="exac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1.背景和意义。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2.参赛产品技术创意整体概述。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3.市场需求分析。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4.在雄安及河北推广应用场景设想。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5.下一步提升计划。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技术概况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对参赛技术概况进行介绍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关键技术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参赛技术应用的关键技术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创新点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参赛技术的创新性，取得哪些技术上的突破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参赛技术获取的专利数量和著作权登记情况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成熟度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目标定位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参赛技术主要应用方向及定位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可靠性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参赛技术可靠性（相关测试数据）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参赛技术示范应用情况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生产/应用可行性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参赛技术研发、推广应用的成本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参赛技术市场需求趋势是否旺盛，成长空间是否广阔；可被成功复制推广的地区范围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竞争优势</w:t>
            </w:r>
          </w:p>
        </w:tc>
        <w:tc>
          <w:tcPr>
            <w:tcW w:w="4450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参赛技术是否具有技术壁垒，他人可复制性强弱、进入门槛高低；价格、销售渠道及优势</w:t>
            </w:r>
          </w:p>
        </w:tc>
      </w:tr>
    </w:tbl>
    <w:p>
      <w:pPr>
        <w:spacing w:line="58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</w:rPr>
        <w:t>I</w:t>
      </w:r>
      <w:r>
        <w:rPr>
          <w:rFonts w:ascii="Times New Roman" w:hAnsi="Times New Roman" w:eastAsia="方正小标宋简体" w:cs="Times New Roman"/>
          <w:sz w:val="56"/>
          <w:szCs w:val="56"/>
        </w:rPr>
        <w:t>P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v6终端产品</w:t>
      </w:r>
      <w:r>
        <w:rPr>
          <w:rFonts w:ascii="Times New Roman" w:hAnsi="Times New Roman" w:eastAsia="方正小标宋简体" w:cs="Times New Roman"/>
          <w:sz w:val="56"/>
          <w:szCs w:val="56"/>
        </w:rPr>
        <w:t>申报书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tabs>
          <w:tab w:val="left" w:pos="6499"/>
        </w:tabs>
        <w:spacing w:line="600" w:lineRule="exact"/>
        <w:jc w:val="left"/>
        <w:rPr>
          <w:rFonts w:eastAsia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申报场景：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年   月   日    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34" w:lineRule="exact"/>
        <w:jc w:val="center"/>
        <w:rPr>
          <w:rFonts w:eastAsia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承 诺 书</w:t>
      </w: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单位名称：</w:t>
      </w: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634" w:lineRule="exact"/>
        <w:jc w:val="center"/>
        <w:rPr>
          <w:rFonts w:eastAsia="方正小标宋_GBK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1.我单位近三年财务状况良好，在质量、安全、信誉和社会责任等方面无不良记录。</w:t>
      </w:r>
    </w:p>
    <w:p>
      <w:pPr>
        <w:spacing w:line="634" w:lineRule="exact"/>
        <w:ind w:firstLine="683" w:firstLineChars="200"/>
        <w:rPr>
          <w:rFonts w:eastAsia="仿宋_GB2312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2.我单位的所有申报材料均真实可靠，符合我单位实际情况，如有不实，愿承担相应的责任。</w:t>
      </w: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3.我单位申报材料中涉及的产品无成果、权属（专利）争议或纠纷。</w:t>
      </w: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4.在不涉及商业机密的情况下，自愿与其他单位分享经验。</w:t>
      </w: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634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/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单位盖章</w:t>
      </w: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eastAsia="黑体"/>
          <w:b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28"/>
        </w:rPr>
        <w:br w:type="page"/>
      </w:r>
    </w:p>
    <w:tbl>
      <w:tblPr>
        <w:tblStyle w:val="11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551"/>
        <w:gridCol w:w="2675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芯片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IPv6+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卫星互联网终端产品</w:t>
            </w:r>
          </w:p>
          <w:p>
            <w:pPr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智慧城市传感器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产业化阶段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实验室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小试中试 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小规模推广</w:t>
            </w:r>
          </w:p>
          <w:p>
            <w:pPr>
              <w:spacing w:line="5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规模化生产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3年内可上市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创新创意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项目/企业估值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已融资情况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融资需求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单位/团队简介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63" w:type="dxa"/>
            <w:vMerge w:val="continue"/>
            <w:vAlign w:val="center"/>
          </w:tcPr>
          <w:p>
            <w:pPr>
              <w:pStyle w:val="10"/>
              <w:spacing w:line="500" w:lineRule="exact"/>
              <w:ind w:firstLine="0"/>
              <w:rPr>
                <w:rFonts w:asci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63" w:type="dxa"/>
            <w:vMerge w:val="continue"/>
            <w:vAlign w:val="center"/>
          </w:tcPr>
          <w:p>
            <w:pPr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应用实践的场景、时间、地区、成效等。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663" w:type="dxa"/>
            <w:vMerge w:val="continue"/>
            <w:vAlign w:val="center"/>
          </w:tcPr>
          <w:p>
            <w:pPr>
              <w:pStyle w:val="10"/>
              <w:spacing w:line="500" w:lineRule="exact"/>
              <w:ind w:firstLine="0"/>
              <w:rPr>
                <w:rFonts w:asci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autoSpaceDE w:val="0"/>
              <w:autoSpaceDN w:val="0"/>
              <w:spacing w:before="30" w:line="560" w:lineRule="exac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1.背景和意义。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2.参赛产品技术创意整体概述。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3.市场需求分析。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4.在雄安及河北推广应用场景设想。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5.下一步提升计划。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技术概况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对参赛技术概况进行介绍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关键技术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参赛技术应用的关键技术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创新点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参赛技术的创新性，取得哪些技术上的突破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参赛技术获取的专利数量和著作权登记情况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示范应用的价值性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参赛产品在雄安新区重点场景试点应用的价值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成熟度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目标定位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参赛技术主要应用方向及定位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可靠性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参赛技术可靠性（相关测试数据）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参赛技术示范应用情况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生产/应用可行性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参赛技术研发、推广应用的成本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参赛技术市场需求趋势是否旺盛，成长空间是否广阔；可被成功复制推广的地区范围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竞争优势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参赛技术是否具有技术壁垒，他人可复制性强弱、进入门槛高低；价格、销售渠道及优势</w:t>
            </w:r>
          </w:p>
        </w:tc>
      </w:tr>
    </w:tbl>
    <w:p>
      <w:pPr>
        <w:spacing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</w:rPr>
        <w:t>I</w:t>
      </w:r>
      <w:r>
        <w:rPr>
          <w:rFonts w:ascii="Times New Roman" w:hAnsi="Times New Roman" w:eastAsia="方正小标宋简体" w:cs="Times New Roman"/>
          <w:sz w:val="56"/>
          <w:szCs w:val="56"/>
        </w:rPr>
        <w:t>P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v6</w:t>
      </w:r>
      <w:r>
        <w:rPr>
          <w:rFonts w:ascii="Times New Roman" w:hAnsi="Times New Roman" w:eastAsia="方正小标宋简体" w:cs="Times New Roman"/>
          <w:sz w:val="56"/>
          <w:szCs w:val="56"/>
        </w:rPr>
        <w:t>+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应用</w:t>
      </w:r>
      <w:r>
        <w:rPr>
          <w:rFonts w:ascii="Times New Roman" w:hAnsi="Times New Roman" w:eastAsia="方正小标宋简体" w:cs="Times New Roman"/>
          <w:sz w:val="56"/>
          <w:szCs w:val="56"/>
        </w:rPr>
        <w:t>申报书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tabs>
          <w:tab w:val="left" w:pos="6499"/>
        </w:tabs>
        <w:spacing w:line="600" w:lineRule="exact"/>
        <w:jc w:val="left"/>
        <w:rPr>
          <w:rFonts w:eastAsia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申报场景：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年   月   日    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34" w:lineRule="exact"/>
        <w:jc w:val="center"/>
        <w:rPr>
          <w:rFonts w:eastAsia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承 诺 书</w:t>
      </w: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单位名称：</w:t>
      </w:r>
    </w:p>
    <w:p>
      <w:pPr>
        <w:spacing w:line="634" w:lineRule="exact"/>
        <w:ind w:firstLine="683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634" w:lineRule="exact"/>
        <w:jc w:val="center"/>
        <w:rPr>
          <w:rFonts w:eastAsia="方正小标宋_GBK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1.我单位近三年财务状况良好，在质量、安全、信誉和社会责任等方面无不良记录。</w:t>
      </w:r>
    </w:p>
    <w:p>
      <w:pPr>
        <w:spacing w:line="634" w:lineRule="exact"/>
        <w:ind w:firstLine="683" w:firstLineChars="200"/>
        <w:rPr>
          <w:rFonts w:eastAsia="仿宋_GB2312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2.我单位的所有申报材料均真实可靠，符合我单位实际情况，如有不实，愿承担相应的责任。</w:t>
      </w: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3.我单位申报材料中涉及的产品无成果、权属（专利）争议或纠纷。</w:t>
      </w: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4.在不涉及商业机密的情况下，自愿与其他单位分享经验。</w:t>
      </w: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634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34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634" w:lineRule="exact"/>
        <w:ind w:firstLine="735" w:firstLineChars="200"/>
        <w:jc w:val="left"/>
        <w:rPr>
          <w:rFonts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单位盖章</w:t>
      </w:r>
    </w:p>
    <w:p>
      <w:pPr>
        <w:spacing w:line="634" w:lineRule="exact"/>
        <w:ind w:firstLine="735" w:firstLineChars="200"/>
        <w:jc w:val="left"/>
        <w:rPr>
          <w:rFonts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pacing w:val="13"/>
          <w:kern w:val="0"/>
          <w:sz w:val="34"/>
          <w:szCs w:val="34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eastAsia="黑体"/>
          <w:b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28"/>
        </w:rPr>
        <w:br w:type="page"/>
      </w:r>
    </w:p>
    <w:tbl>
      <w:tblPr>
        <w:tblStyle w:val="11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551"/>
        <w:gridCol w:w="2675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663" w:type="dxa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IPv6+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数字家电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IPv6+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水电气表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IPv6+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数字道路</w:t>
            </w:r>
          </w:p>
          <w:p>
            <w:pPr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IPv6+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卫星互联网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产业化阶段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实验室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小试中试 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小规模推广</w:t>
            </w:r>
          </w:p>
          <w:p>
            <w:pPr>
              <w:spacing w:line="5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规模化生产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3年内可上市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5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创新创意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项目/企业估值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已融资情况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融资需求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单位/团队简介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63" w:type="dxa"/>
            <w:vMerge w:val="continue"/>
            <w:vAlign w:val="center"/>
          </w:tcPr>
          <w:p>
            <w:pPr>
              <w:pStyle w:val="10"/>
              <w:spacing w:line="500" w:lineRule="exact"/>
              <w:ind w:firstLine="0"/>
              <w:rPr>
                <w:rFonts w:asci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63" w:type="dxa"/>
            <w:vMerge w:val="continue"/>
            <w:vAlign w:val="center"/>
          </w:tcPr>
          <w:p>
            <w:pPr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应用实践的场景、时间、地区、成效等。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663" w:type="dxa"/>
            <w:vMerge w:val="continue"/>
            <w:vAlign w:val="center"/>
          </w:tcPr>
          <w:p>
            <w:pPr>
              <w:pStyle w:val="10"/>
              <w:spacing w:line="500" w:lineRule="exact"/>
              <w:ind w:firstLine="0"/>
              <w:rPr>
                <w:rFonts w:asci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30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autoSpaceDE w:val="0"/>
              <w:autoSpaceDN w:val="0"/>
              <w:spacing w:before="30" w:line="560" w:lineRule="exac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1.背景和意义。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2.参赛产品技术创意整体概述。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3.市场需求分析。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4.在雄安及河北推广应用场景设想。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5.下一步提升计划。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技术概况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对参赛技术概况进行介绍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关键技术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参赛技术应用的关键技术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创新点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参赛技术的创新性，取得哪些技术上的突破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参赛技术获取的专利数量和著作权登记情况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示范应用的价值性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参赛产品在雄安新区重点场景试点应用的价值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成熟度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目标定位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参赛技术主要应用方向及定位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可靠性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参赛技术可靠性（相关测试数据）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参赛技术示范应用情况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生产/应用可行性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参赛技术研发、推广应用的成本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参赛技术市场需求趋势是否旺盛，成长空间是否广阔；可被成功复制推广的地区范围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竞争优势</w:t>
            </w:r>
          </w:p>
        </w:tc>
        <w:tc>
          <w:tcPr>
            <w:tcW w:w="4308" w:type="dxa"/>
            <w:gridSpan w:val="2"/>
          </w:tcPr>
          <w:p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参赛技术是否具有技术壁垒，他人可复制性强弱、进入门槛高低；价格、销售渠道及优势</w:t>
            </w:r>
          </w:p>
        </w:tc>
      </w:tr>
    </w:tbl>
    <w:p>
      <w:pPr>
        <w:spacing w:line="58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BEBB8-7DE9-4EF9-91D7-5BAFF1B07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1E2B2D0-38D9-4B29-AE8B-930A58C71D25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3B0361D-4FAB-4D2D-B8F3-01A2ACEAE6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AADD33-2D1B-4F41-AF39-4D40338EB2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4CDF25D-492F-46C4-9DB7-2CC832866A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877A098-26B5-462C-9AD3-1858884CAD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175D25D-87E1-4B47-893E-14240B3061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51E839C5-7578-4947-9FC4-620DC16E5F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09093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9B032A"/>
    <w:rsid w:val="00012080"/>
    <w:rsid w:val="00031E2D"/>
    <w:rsid w:val="000470C6"/>
    <w:rsid w:val="00047FE3"/>
    <w:rsid w:val="00056657"/>
    <w:rsid w:val="00056D21"/>
    <w:rsid w:val="00070442"/>
    <w:rsid w:val="00071B4C"/>
    <w:rsid w:val="00076E1F"/>
    <w:rsid w:val="00081A30"/>
    <w:rsid w:val="00082095"/>
    <w:rsid w:val="00082BF3"/>
    <w:rsid w:val="000A36FA"/>
    <w:rsid w:val="000B38B7"/>
    <w:rsid w:val="000E5291"/>
    <w:rsid w:val="000E610F"/>
    <w:rsid w:val="00102D64"/>
    <w:rsid w:val="001232B6"/>
    <w:rsid w:val="00127BC5"/>
    <w:rsid w:val="00132D5E"/>
    <w:rsid w:val="00133BAE"/>
    <w:rsid w:val="00136FA9"/>
    <w:rsid w:val="00142971"/>
    <w:rsid w:val="001438AD"/>
    <w:rsid w:val="00150995"/>
    <w:rsid w:val="0015346D"/>
    <w:rsid w:val="001679C9"/>
    <w:rsid w:val="00175C39"/>
    <w:rsid w:val="001811C9"/>
    <w:rsid w:val="00182E9C"/>
    <w:rsid w:val="001B2ECE"/>
    <w:rsid w:val="001B37D3"/>
    <w:rsid w:val="001B7160"/>
    <w:rsid w:val="001C086F"/>
    <w:rsid w:val="001C13DA"/>
    <w:rsid w:val="001C2272"/>
    <w:rsid w:val="001C6126"/>
    <w:rsid w:val="001C781C"/>
    <w:rsid w:val="001D013A"/>
    <w:rsid w:val="001D016F"/>
    <w:rsid w:val="001F0C25"/>
    <w:rsid w:val="001F748C"/>
    <w:rsid w:val="001F78B6"/>
    <w:rsid w:val="00200A7A"/>
    <w:rsid w:val="0020631A"/>
    <w:rsid w:val="0021762D"/>
    <w:rsid w:val="00220632"/>
    <w:rsid w:val="002234B4"/>
    <w:rsid w:val="00253CE7"/>
    <w:rsid w:val="00272A34"/>
    <w:rsid w:val="00276E7B"/>
    <w:rsid w:val="002822A7"/>
    <w:rsid w:val="002852A9"/>
    <w:rsid w:val="00294CAF"/>
    <w:rsid w:val="00295C97"/>
    <w:rsid w:val="00295F67"/>
    <w:rsid w:val="00297478"/>
    <w:rsid w:val="002A0092"/>
    <w:rsid w:val="002A253C"/>
    <w:rsid w:val="002B70E4"/>
    <w:rsid w:val="002F0ABC"/>
    <w:rsid w:val="002F2DEA"/>
    <w:rsid w:val="00312F0F"/>
    <w:rsid w:val="00336317"/>
    <w:rsid w:val="00340C38"/>
    <w:rsid w:val="003565DC"/>
    <w:rsid w:val="003568A9"/>
    <w:rsid w:val="003627D1"/>
    <w:rsid w:val="003731EF"/>
    <w:rsid w:val="0038335D"/>
    <w:rsid w:val="003B329A"/>
    <w:rsid w:val="003B68B1"/>
    <w:rsid w:val="003C10E3"/>
    <w:rsid w:val="003C406E"/>
    <w:rsid w:val="003C45D1"/>
    <w:rsid w:val="003C5086"/>
    <w:rsid w:val="003C6990"/>
    <w:rsid w:val="003D38F4"/>
    <w:rsid w:val="003D71A6"/>
    <w:rsid w:val="004162C6"/>
    <w:rsid w:val="00420B7A"/>
    <w:rsid w:val="00431307"/>
    <w:rsid w:val="00441DC5"/>
    <w:rsid w:val="004423C2"/>
    <w:rsid w:val="0045196C"/>
    <w:rsid w:val="004547AA"/>
    <w:rsid w:val="004551D4"/>
    <w:rsid w:val="004647F7"/>
    <w:rsid w:val="00464B3C"/>
    <w:rsid w:val="004A2A9D"/>
    <w:rsid w:val="004B60CA"/>
    <w:rsid w:val="004B6149"/>
    <w:rsid w:val="004B7162"/>
    <w:rsid w:val="004D5C92"/>
    <w:rsid w:val="004D6863"/>
    <w:rsid w:val="004F435C"/>
    <w:rsid w:val="0050274E"/>
    <w:rsid w:val="0050491A"/>
    <w:rsid w:val="00506593"/>
    <w:rsid w:val="005317B3"/>
    <w:rsid w:val="005355B7"/>
    <w:rsid w:val="00535827"/>
    <w:rsid w:val="00551E4D"/>
    <w:rsid w:val="0055354D"/>
    <w:rsid w:val="005557F9"/>
    <w:rsid w:val="00576CD6"/>
    <w:rsid w:val="00587673"/>
    <w:rsid w:val="005944B6"/>
    <w:rsid w:val="005C1F0D"/>
    <w:rsid w:val="005C1F23"/>
    <w:rsid w:val="005C29A3"/>
    <w:rsid w:val="005C511D"/>
    <w:rsid w:val="005C62FA"/>
    <w:rsid w:val="005C7E8C"/>
    <w:rsid w:val="005D4161"/>
    <w:rsid w:val="005D6C99"/>
    <w:rsid w:val="005D7FF3"/>
    <w:rsid w:val="005E4A04"/>
    <w:rsid w:val="005F2D92"/>
    <w:rsid w:val="005F4535"/>
    <w:rsid w:val="00605EB9"/>
    <w:rsid w:val="00611316"/>
    <w:rsid w:val="00614433"/>
    <w:rsid w:val="006222D8"/>
    <w:rsid w:val="00623FE9"/>
    <w:rsid w:val="00625447"/>
    <w:rsid w:val="006329D9"/>
    <w:rsid w:val="0064497C"/>
    <w:rsid w:val="00656D7F"/>
    <w:rsid w:val="006708AF"/>
    <w:rsid w:val="00676EBA"/>
    <w:rsid w:val="006876D8"/>
    <w:rsid w:val="0069233E"/>
    <w:rsid w:val="0069478F"/>
    <w:rsid w:val="006964B6"/>
    <w:rsid w:val="006A0DBB"/>
    <w:rsid w:val="006A6F63"/>
    <w:rsid w:val="006B6056"/>
    <w:rsid w:val="006D10D4"/>
    <w:rsid w:val="006D2946"/>
    <w:rsid w:val="006E4B21"/>
    <w:rsid w:val="006E67E7"/>
    <w:rsid w:val="006F4172"/>
    <w:rsid w:val="006F632C"/>
    <w:rsid w:val="006F792B"/>
    <w:rsid w:val="00700129"/>
    <w:rsid w:val="00700630"/>
    <w:rsid w:val="00703A2D"/>
    <w:rsid w:val="0070756C"/>
    <w:rsid w:val="00711008"/>
    <w:rsid w:val="0071600B"/>
    <w:rsid w:val="00725151"/>
    <w:rsid w:val="007463FF"/>
    <w:rsid w:val="00747DC9"/>
    <w:rsid w:val="00751A55"/>
    <w:rsid w:val="007534E4"/>
    <w:rsid w:val="00754F01"/>
    <w:rsid w:val="00766E72"/>
    <w:rsid w:val="00774CBF"/>
    <w:rsid w:val="00783FE6"/>
    <w:rsid w:val="007B3CC7"/>
    <w:rsid w:val="007B41D9"/>
    <w:rsid w:val="007D40B4"/>
    <w:rsid w:val="007E577C"/>
    <w:rsid w:val="007F27A3"/>
    <w:rsid w:val="00802FF3"/>
    <w:rsid w:val="00815B4F"/>
    <w:rsid w:val="0082591E"/>
    <w:rsid w:val="00833108"/>
    <w:rsid w:val="00836E70"/>
    <w:rsid w:val="00845FC8"/>
    <w:rsid w:val="00856328"/>
    <w:rsid w:val="00871727"/>
    <w:rsid w:val="00872050"/>
    <w:rsid w:val="00895E07"/>
    <w:rsid w:val="008B24D0"/>
    <w:rsid w:val="008D0F02"/>
    <w:rsid w:val="008D13E6"/>
    <w:rsid w:val="008D64CC"/>
    <w:rsid w:val="008D7FF7"/>
    <w:rsid w:val="008F3800"/>
    <w:rsid w:val="009027E4"/>
    <w:rsid w:val="00922666"/>
    <w:rsid w:val="00942651"/>
    <w:rsid w:val="00954472"/>
    <w:rsid w:val="00957754"/>
    <w:rsid w:val="00957FC2"/>
    <w:rsid w:val="00964E5B"/>
    <w:rsid w:val="0097485A"/>
    <w:rsid w:val="0098568D"/>
    <w:rsid w:val="009927AF"/>
    <w:rsid w:val="009A7285"/>
    <w:rsid w:val="009B032A"/>
    <w:rsid w:val="009B5889"/>
    <w:rsid w:val="009B733B"/>
    <w:rsid w:val="009C444D"/>
    <w:rsid w:val="009D1681"/>
    <w:rsid w:val="009E3DD5"/>
    <w:rsid w:val="009E455F"/>
    <w:rsid w:val="009F399F"/>
    <w:rsid w:val="009F650B"/>
    <w:rsid w:val="009F6E1A"/>
    <w:rsid w:val="00A005B1"/>
    <w:rsid w:val="00A0077E"/>
    <w:rsid w:val="00A065FC"/>
    <w:rsid w:val="00A109CA"/>
    <w:rsid w:val="00A14363"/>
    <w:rsid w:val="00A167AE"/>
    <w:rsid w:val="00A20EA6"/>
    <w:rsid w:val="00A355B6"/>
    <w:rsid w:val="00A56236"/>
    <w:rsid w:val="00A65F3A"/>
    <w:rsid w:val="00A8620F"/>
    <w:rsid w:val="00A86606"/>
    <w:rsid w:val="00AA08FA"/>
    <w:rsid w:val="00AA2D7B"/>
    <w:rsid w:val="00AB3D15"/>
    <w:rsid w:val="00AB70EE"/>
    <w:rsid w:val="00AC027A"/>
    <w:rsid w:val="00AC7112"/>
    <w:rsid w:val="00B03AE7"/>
    <w:rsid w:val="00B11FA0"/>
    <w:rsid w:val="00B13B07"/>
    <w:rsid w:val="00B41E0C"/>
    <w:rsid w:val="00B44EF8"/>
    <w:rsid w:val="00B533DE"/>
    <w:rsid w:val="00B70D06"/>
    <w:rsid w:val="00B72859"/>
    <w:rsid w:val="00B82793"/>
    <w:rsid w:val="00B903AD"/>
    <w:rsid w:val="00BB39AC"/>
    <w:rsid w:val="00BC1603"/>
    <w:rsid w:val="00BE367C"/>
    <w:rsid w:val="00BF0A9A"/>
    <w:rsid w:val="00C01D3F"/>
    <w:rsid w:val="00C020E2"/>
    <w:rsid w:val="00C109DD"/>
    <w:rsid w:val="00C2256B"/>
    <w:rsid w:val="00C37587"/>
    <w:rsid w:val="00C435BA"/>
    <w:rsid w:val="00C44AC9"/>
    <w:rsid w:val="00C6691B"/>
    <w:rsid w:val="00C77230"/>
    <w:rsid w:val="00C80FE3"/>
    <w:rsid w:val="00C86EC6"/>
    <w:rsid w:val="00C970CE"/>
    <w:rsid w:val="00CA7C84"/>
    <w:rsid w:val="00CC1F1E"/>
    <w:rsid w:val="00CC2457"/>
    <w:rsid w:val="00CD666E"/>
    <w:rsid w:val="00D20A92"/>
    <w:rsid w:val="00D32517"/>
    <w:rsid w:val="00D639CA"/>
    <w:rsid w:val="00D65210"/>
    <w:rsid w:val="00D87B42"/>
    <w:rsid w:val="00DD4264"/>
    <w:rsid w:val="00DE6C02"/>
    <w:rsid w:val="00E0394C"/>
    <w:rsid w:val="00E0519C"/>
    <w:rsid w:val="00E24E2D"/>
    <w:rsid w:val="00E32567"/>
    <w:rsid w:val="00E3523A"/>
    <w:rsid w:val="00E46AA0"/>
    <w:rsid w:val="00E55F08"/>
    <w:rsid w:val="00E56D05"/>
    <w:rsid w:val="00E83423"/>
    <w:rsid w:val="00E8515E"/>
    <w:rsid w:val="00E92C0B"/>
    <w:rsid w:val="00E977CA"/>
    <w:rsid w:val="00EA32A0"/>
    <w:rsid w:val="00EB5D84"/>
    <w:rsid w:val="00EC05FC"/>
    <w:rsid w:val="00EC1A1D"/>
    <w:rsid w:val="00ED132C"/>
    <w:rsid w:val="00ED1D27"/>
    <w:rsid w:val="00EE266F"/>
    <w:rsid w:val="00EF5213"/>
    <w:rsid w:val="00F266F2"/>
    <w:rsid w:val="00F31472"/>
    <w:rsid w:val="00F3422D"/>
    <w:rsid w:val="00F34A7C"/>
    <w:rsid w:val="00F413DE"/>
    <w:rsid w:val="00F52FEB"/>
    <w:rsid w:val="00F66F1B"/>
    <w:rsid w:val="00F70B71"/>
    <w:rsid w:val="00F72BF1"/>
    <w:rsid w:val="00F83E85"/>
    <w:rsid w:val="00FA027D"/>
    <w:rsid w:val="00FB2E2A"/>
    <w:rsid w:val="00FB3E9C"/>
    <w:rsid w:val="00FC121D"/>
    <w:rsid w:val="00FC1955"/>
    <w:rsid w:val="00FC25D2"/>
    <w:rsid w:val="00FF2865"/>
    <w:rsid w:val="03305FFE"/>
    <w:rsid w:val="07DB6173"/>
    <w:rsid w:val="0B745622"/>
    <w:rsid w:val="0D822FB5"/>
    <w:rsid w:val="0EF16F8A"/>
    <w:rsid w:val="10090BD7"/>
    <w:rsid w:val="111B02EE"/>
    <w:rsid w:val="118C679D"/>
    <w:rsid w:val="13426006"/>
    <w:rsid w:val="139B2250"/>
    <w:rsid w:val="14C8078D"/>
    <w:rsid w:val="17D426A8"/>
    <w:rsid w:val="18297794"/>
    <w:rsid w:val="19915AE8"/>
    <w:rsid w:val="1B155DAE"/>
    <w:rsid w:val="1B903686"/>
    <w:rsid w:val="1C640D9B"/>
    <w:rsid w:val="1C9F2115"/>
    <w:rsid w:val="231057D9"/>
    <w:rsid w:val="25B30B82"/>
    <w:rsid w:val="27280C17"/>
    <w:rsid w:val="280E2503"/>
    <w:rsid w:val="28B27332"/>
    <w:rsid w:val="2D2A5DE1"/>
    <w:rsid w:val="2E980D78"/>
    <w:rsid w:val="2F1C72B3"/>
    <w:rsid w:val="31342FDA"/>
    <w:rsid w:val="31523460"/>
    <w:rsid w:val="31796FC9"/>
    <w:rsid w:val="3ED15FEF"/>
    <w:rsid w:val="3F6C32DF"/>
    <w:rsid w:val="42F629C9"/>
    <w:rsid w:val="44E87F0C"/>
    <w:rsid w:val="44EA2BAB"/>
    <w:rsid w:val="47513C75"/>
    <w:rsid w:val="497B010E"/>
    <w:rsid w:val="49DB16A1"/>
    <w:rsid w:val="49DE368B"/>
    <w:rsid w:val="4B8B3D8B"/>
    <w:rsid w:val="4BC26F3C"/>
    <w:rsid w:val="4C9170DB"/>
    <w:rsid w:val="4C9B1D07"/>
    <w:rsid w:val="4FC326A1"/>
    <w:rsid w:val="50DF1E02"/>
    <w:rsid w:val="5144296E"/>
    <w:rsid w:val="5402441A"/>
    <w:rsid w:val="55766E6E"/>
    <w:rsid w:val="59F1740B"/>
    <w:rsid w:val="5A117165"/>
    <w:rsid w:val="60972544"/>
    <w:rsid w:val="65595867"/>
    <w:rsid w:val="6D5568A6"/>
    <w:rsid w:val="700C2451"/>
    <w:rsid w:val="7017014C"/>
    <w:rsid w:val="70C745CA"/>
    <w:rsid w:val="7370719A"/>
    <w:rsid w:val="78287E44"/>
    <w:rsid w:val="78A91184"/>
    <w:rsid w:val="7ADB7FDF"/>
    <w:rsid w:val="7AE23941"/>
    <w:rsid w:val="7B3A4AB6"/>
    <w:rsid w:val="7DBC3708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25"/>
    <w:qFormat/>
    <w:uiPriority w:val="0"/>
    <w:pPr>
      <w:keepNext/>
      <w:keepLines/>
      <w:spacing w:line="580" w:lineRule="exact"/>
      <w:ind w:firstLine="420" w:firstLineChars="200"/>
      <w:jc w:val="left"/>
      <w:outlineLvl w:val="2"/>
    </w:pPr>
    <w:rPr>
      <w:rFonts w:ascii="方正楷体_GBK" w:hAnsi="方正楷体_GBK" w:eastAsia="方正楷体_GBK" w:cs="Times New Roman"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19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paragraph" w:styleId="10">
    <w:name w:val="Body Text First Indent 2"/>
    <w:basedOn w:val="5"/>
    <w:next w:val="1"/>
    <w:link w:val="20"/>
    <w:unhideWhenUsed/>
    <w:qFormat/>
    <w:uiPriority w:val="99"/>
    <w:pPr>
      <w:spacing w:after="0" w:line="480" w:lineRule="exact"/>
      <w:ind w:left="0" w:leftChars="0" w:firstLine="645"/>
    </w:pPr>
    <w:rPr>
      <w:rFonts w:ascii="仿宋_GB2312" w:hAnsi="Calibri" w:eastAsia="仿宋_GB2312" w:cs="黑体"/>
      <w:b/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正文文本缩进 字符"/>
    <w:basedOn w:val="13"/>
    <w:link w:val="5"/>
    <w:semiHidden/>
    <w:qFormat/>
    <w:uiPriority w:val="99"/>
  </w:style>
  <w:style w:type="character" w:customStyle="1" w:styleId="20">
    <w:name w:val="正文文本首行缩进 2 字符"/>
    <w:basedOn w:val="19"/>
    <w:link w:val="10"/>
    <w:qFormat/>
    <w:uiPriority w:val="99"/>
    <w:rPr>
      <w:rFonts w:ascii="仿宋_GB2312" w:hAnsi="Calibri" w:eastAsia="仿宋_GB2312" w:cs="黑体"/>
      <w:b/>
      <w:sz w:val="32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5">
    <w:name w:val="标题 3 字符"/>
    <w:basedOn w:val="13"/>
    <w:link w:val="3"/>
    <w:qFormat/>
    <w:uiPriority w:val="0"/>
    <w:rPr>
      <w:rFonts w:ascii="方正楷体_GBK" w:hAnsi="方正楷体_GBK" w:eastAsia="方正楷体_GBK" w:cs="Times New Roman"/>
      <w:kern w:val="2"/>
      <w:sz w:val="32"/>
    </w:rPr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EB9B-ABCA-4AA9-A1F5-52C462282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922</Words>
  <Characters>5258</Characters>
  <Lines>43</Lines>
  <Paragraphs>12</Paragraphs>
  <TotalTime>0</TotalTime>
  <ScaleCrop>false</ScaleCrop>
  <LinksUpToDate>false</LinksUpToDate>
  <CharactersWithSpaces>6168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2023-12-22T00:57:00Z</dcterms:created>
  <dc:creator>子轩 王</dc:creator>
  <cp:lastModifiedBy>陈伟</cp:lastModifiedBy>
  <dcterms:modified xsi:type="dcterms:W3CDTF">2023-12-28T01:53:52Z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35FBE9B5EFB247628E9CE6ACB440254E_13</vt:lpwstr>
  </property>
</Properties>
</file>