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仿宋_GB2312" w:eastAsia="仿宋_GB2312"/>
          <w:sz w:val="32"/>
          <w:szCs w:val="32"/>
        </w:rPr>
      </w:pPr>
      <w:r>
        <w:rPr>
          <w:rFonts w:hint="eastAsia" w:ascii="仿宋_GB2312" w:eastAsia="仿宋_GB2312"/>
          <w:sz w:val="32"/>
          <w:szCs w:val="32"/>
        </w:rPr>
        <w:t>附件1</w:t>
      </w:r>
    </w:p>
    <w:p>
      <w:pPr>
        <w:adjustRightInd w:val="0"/>
        <w:snapToGrid w:val="0"/>
        <w:spacing w:line="560" w:lineRule="exact"/>
        <w:jc w:val="center"/>
        <w:rPr>
          <w:rFonts w:hint="eastAsia" w:ascii="方正小标宋_GBK" w:hAnsi="方正小标宋_GBK" w:eastAsia="方正小标宋_GBK"/>
          <w:sz w:val="44"/>
          <w:szCs w:val="44"/>
        </w:rPr>
      </w:pPr>
      <w:r>
        <w:rPr>
          <w:rFonts w:hint="eastAsia" w:ascii="方正小标宋_GBK" w:hAnsi="方正小标宋_GBK" w:eastAsia="方正小标宋_GBK"/>
          <w:sz w:val="44"/>
          <w:szCs w:val="44"/>
        </w:rPr>
        <w:t>“揭榜挂帅”项目申报榜单</w:t>
      </w:r>
    </w:p>
    <w:p>
      <w:pPr>
        <w:adjustRightInd w:val="0"/>
        <w:snapToGrid w:val="0"/>
        <w:spacing w:line="560" w:lineRule="exact"/>
        <w:ind w:firstLine="640" w:firstLineChars="200"/>
        <w:rPr>
          <w:rFonts w:hint="eastAsia" w:ascii="仿宋_GB2312" w:eastAsia="仿宋_GB2312"/>
          <w:sz w:val="32"/>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w:t>
      </w:r>
      <w:bookmarkStart w:id="0" w:name="OLE_LINK1"/>
      <w:r>
        <w:rPr>
          <w:rFonts w:hint="eastAsia" w:ascii="黑体" w:hAnsi="黑体" w:eastAsia="黑体"/>
          <w:sz w:val="32"/>
          <w:szCs w:val="32"/>
        </w:rPr>
        <w:t>城市轨道交通行包智能安检设备研发与示范应用</w:t>
      </w:r>
      <w:bookmarkEnd w:id="0"/>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（一）需求目标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面向我市轨道交通高通量安检应用需求，聚焦现有X射线安检机判图效率不足、漏报误报率高，液体危险品需开包检测引发的乘客通行效率问题。研发集成三维成像、人工智能自动判图、非接触式危险液体检测与设备状态智能诊断功能的智能安检机，在北京市典型城市轨道交通车站开展示范应用。实现对乘客复杂行包物品风险目标智能标记与预警、液态物品过机同步非开包识别、安检机运行状态实时监控与智能诊断，减轻安检员作业压力，提升乘客通行效率。</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（二）考核指标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1.研究X射线三维立体成像技术，能够实现包裹连续放置条件下的三维成像检测，切片内成像空间分辨率≤2mm线对，密度分辨率≤3%，传送带速度≥0.2m/s，支持连包检测。</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研发深度学习的人工智能自动判图系统，基于安检机三维图像训练识别模型，可对枪支子弹、爆炸物品、易燃易爆品、管制器具及具有杀伤力的其他器具等风险目标进行自动识别、标记与预警，风险目标检出率≥95%，预警误报率≤10%。在笔记本电脑等干扰背景下风险目标检出率≥80%，预警误报率≤20%。单件行包识别平均响应时间≤2s，根据预警信息可追踪风险目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研发非接触式液体识别技术，可检出汽油、乙醇、硫酸、盐酸等常见易燃及腐蚀性危险液体，在玻璃、塑料、陶瓷等非金属容器条件下危险液体检出率≥90%，在金属容器条件下危险液体检出率≥80%。液体检测无需开包，可与行包物品同步完成扫描和识别。</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研发集成X射线三维成像、人工智能自动判图、液体非开包检测、物联网健康管理功能的一体化安检设备样机。射线源管电压不低于160kV，连续稳定运行时间≥24h，设备重量≤1800kg，占地面积≤3000mm×1300mm，通道尺寸≥600mm(宽)×400mm(高)，辐射与环境安全指标符合相关国家标准。</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5.在北京市典型大客流地铁站点开展应用示范，满足安装要求。</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（三）项目交付成果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1.集成X射线三维成像、人工智能自动判图、液体非开包检测、物联网健康管理功能的一体化安检设备样机1套。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2.性能指标第三方测试报告。</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3.相关成果的源代码、算法模型、图纸、说明文档、使用手册、运维手册等文档资料。</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4.示范应用报告。</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（四）项目周期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不超过2年。</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（五）榜单金额</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不超过400万元。</w:t>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w:t>
      </w:r>
      <w:bookmarkStart w:id="1" w:name="OLE_LINK2"/>
      <w:r>
        <w:rPr>
          <w:rFonts w:hint="eastAsia" w:ascii="黑体" w:hAnsi="黑体" w:eastAsia="黑体"/>
          <w:sz w:val="32"/>
          <w:szCs w:val="32"/>
        </w:rPr>
        <w:t>道路交通突发事件多模态AI识别与研判关键技术研究与示范应用</w:t>
      </w:r>
      <w:bookmarkEnd w:id="1"/>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（一）需求目标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针对北京市对交通突发事件智能识别要求高、应急处置速度要求快的现实需求，通过开展道路交通突发事件多模态AI识别与研判等关键技术研究，构建北京市道路交通突发事件多模态高质量数据集与识别处置智能体系统，实现示范区域内突发事件分钟级主动发现与精准识别，并提升基于多源信息融合的动态研判与处置建议自动生成能力，为北京市道路交通安全韧性能力提升提供技术支撑。</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（二）考核指标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1.训练及标注数据集超过1亿条结构化道路交通运行大数据、1万小时以上的路侧视频数据以及非结构化的道路交通应急事故报告、应急预案等应急相关文档，形成道路交通应急处突领域的高质量数据集。</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2.对快速路网上的交通突发事件的智能识别精度≥90%，时效延迟≤10分钟。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3.实现对道路交通突发事件的发展态势研判分析以及处置措施建议的智能生成，生成的预案措施准确度≥90%。</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4.能实现与市交通运输主管部门的交通运行监测数据的实时对接，实现每月自动解析更新知识库，自动终止故障率≤1‰。</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5.完成北京市中心城区快速路网（包含二三四五环及主要进出城放射型快速路通道）交通突发事件智能识别与态势研判应用示范，并在验收后对示范应用中的示范系统提供不少于2年的后期维护服务。</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（三）项目交付成果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1.道路交通应急处突领域的高质量数据集。</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2.道路交通突发事件多模态AI识别与研判分析系统1套（含源代码、说明文档、使用手册等文档资料）。</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3.示范应用报告。</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（四）项目周期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不超过1年。</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（五）榜单金额</w:t>
      </w:r>
    </w:p>
    <w:p>
      <w:pPr>
        <w:adjustRightInd w:val="0"/>
        <w:snapToGrid w:val="0"/>
        <w:spacing w:line="560" w:lineRule="exact"/>
        <w:ind w:firstLine="640" w:firstLineChars="200"/>
        <w:rPr>
          <w:rFonts w:hint="eastAsia" w:ascii="黑体" w:hAnsi="黑体" w:eastAsia="黑体"/>
          <w:sz w:val="32"/>
          <w:szCs w:val="32"/>
        </w:rPr>
      </w:pPr>
      <w:r>
        <w:rPr>
          <w:rFonts w:hint="eastAsia" w:ascii="仿宋_GB2312" w:eastAsia="仿宋_GB2312"/>
          <w:sz w:val="32"/>
          <w:szCs w:val="32"/>
        </w:rPr>
        <w:t>不超过300万元。</w:t>
      </w:r>
    </w:p>
    <w:p>
      <w:pPr>
        <w:adjustRightInd w:val="0"/>
        <w:snapToGrid w:val="0"/>
        <w:spacing w:line="560" w:lineRule="exact"/>
        <w:ind w:firstLine="640" w:firstLineChars="200"/>
        <w:rPr>
          <w:rFonts w:hint="eastAsia" w:ascii="黑体" w:hAnsi="黑体" w:eastAsia="黑体"/>
          <w:sz w:val="32"/>
          <w:szCs w:val="32"/>
        </w:rPr>
      </w:pPr>
    </w:p>
    <w:p>
      <w:pPr>
        <w:widowControl/>
        <w:adjustRightInd w:val="0"/>
        <w:snapToGrid w:val="0"/>
        <w:spacing w:line="560" w:lineRule="exact"/>
        <w:ind w:firstLine="200"/>
        <w:rPr>
          <w:rFonts w:hint="eastAsia" w:ascii="黑体" w:hAnsi="黑体" w:eastAsia="黑体"/>
          <w:sz w:val="32"/>
          <w:szCs w:val="32"/>
        </w:rPr>
      </w:pPr>
      <w:r>
        <w:rPr>
          <w:rFonts w:hint="eastAsia" w:ascii="黑体" w:hAnsi="黑体" w:eastAsia="黑体"/>
          <w:sz w:val="32"/>
          <w:szCs w:val="32"/>
        </w:rPr>
        <w:br w:type="page"/>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w:t>
      </w:r>
      <w:bookmarkStart w:id="2" w:name="OLE_LINK4"/>
      <w:r>
        <w:rPr>
          <w:rFonts w:hint="eastAsia" w:ascii="黑体" w:hAnsi="黑体" w:eastAsia="黑体"/>
          <w:sz w:val="32"/>
          <w:szCs w:val="32"/>
        </w:rPr>
        <w:t>地下水位回升条件下既有房屋建筑结构评估及治理技术研究与示范应用</w:t>
      </w:r>
      <w:bookmarkEnd w:id="2"/>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（一）需求目标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针对北京市地下水位持续回升条件下既有房屋建筑结构安全缺乏系统评估方法、安全管控难度大、治理技术需进一步完善的需求，揭示地下水位回升与房屋建筑结构的关联规律，构建分区分类评估模型，研判房屋建筑结构风险；搭建基于时空信息的集水文地质与房屋建筑结构信息于一体的安全管控系统；提出地下水位持续回升条件下既有房屋建筑结构预警方法，研发既有房屋治理技术，保障北京市地下水位持续回升条件下既有房屋建筑结构安全。</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（二）考核指标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基于水文地质情况、建筑类型、建筑埋深、结构型式、建成年代等多维度因素，构建地下水位回升条件下既有建筑结构安全评估模型，包含评估模型的指标、算法与评价可视化结果图表等内容，实现地下水不同变化条件下，针对既有房屋建筑存在的风险分级分类，并在北京市既有房屋建筑中进行工程验证与应用。</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搭建基于时空信息的既有房屋建筑结构安全管理系统平台，支持全市房屋“空天地”监测数据动态接入并对数据分析，满足全市分区分点分级评估预警及隐患处置的闭环管理要求，抽样点位≥1000栋，风险评估准确率≥90%，具备房屋的监测、检测及综合治理功能；此系统平台需满足嵌入北京市房屋安全管理系统要求。</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研究既有房屋建筑地下结构渗漏综合治理技术，形成相关技术指南或标准，实现渗漏性质判别，鼓励研发新材料、新技术及新装备，提升治理效果与耐久性，完成示范应用治理工程2项，治理后一年内复发率＜5%。</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4.研发房屋建筑地下结构渗水、伸缩缝、变形缝、微裂缝等针对性治理材料，包括且不限于以下3类：</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（1）超早强抗分散水下无机注浆材料，水下灌注质量损失率≤5%，水下结石率＞90%，材料应具备良好的早期及中期强度，相较于传统材料提升1倍，28d抗渗等级≥P12；</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（2）柔性专用渗漏封堵材料，适用于伸缩缝、变形缝等位置，材料延伸率应＞150%，可灌注温度≤120℃且相应黏度≤800mPa·s，具备良好的潮湿基面粘结性能；</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（3）微裂缝高韧性补强注浆材料，潮湿基面粘接强度≥3.0MPa，拉伸强度≥20MPa，断裂伸长率≥8%，抗压强度≥50MPa，可注入宽度≤0.1mm细微裂缝。</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研发用于既有房屋建筑结构抗浮处置的新型锚杆（桩）及高性能锚固与调控技术，形成相关技术指南或标准。新型锚杆（桩）具备既有房屋建筑结构上浮或变形动态调控功能，比常规直线型锚杆（桩）抗拔承载能力提高50%-100%，保证既有结构抗浮与防水性能。</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（三）项目交付成果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1.北京市地下水位回升影响下既有建筑结构高风险区域调研报告1份。</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2.地下水位回升条件下既有建筑结构安全评估模型1套。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3.多源异构地下水位、地质参数与既有房屋建筑结构分区分类数据库1套，基于时空信息的既有房屋建筑结构安全管理系统平台1套。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4.房屋建筑地下结构渗水、伸缩缝、变形缝、微裂缝等针对性治理材料≥3类。</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5.北京市既有房屋建筑安全治理技术指南或标准≥2部。</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6.相关源代码、说明文档、使用手册等文档资料。</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7.示范应用报告及证明。</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（四）项目周期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不超过2年。</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（五）榜单金额</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不超过400万元。</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w:t>
      </w:r>
    </w:p>
    <w:p>
      <w:pPr>
        <w:widowControl/>
        <w:adjustRightInd w:val="0"/>
        <w:snapToGrid w:val="0"/>
        <w:spacing w:line="560" w:lineRule="exact"/>
        <w:ind w:firstLine="200"/>
        <w:rPr>
          <w:rFonts w:hint="eastAsia" w:ascii="仿宋_GB2312" w:eastAsia="仿宋_GB2312"/>
          <w:sz w:val="32"/>
          <w:szCs w:val="32"/>
        </w:rPr>
      </w:pPr>
      <w:r>
        <w:rPr>
          <w:rFonts w:hint="eastAsia" w:ascii="仿宋_GB2312" w:eastAsia="仿宋_GB2312"/>
          <w:sz w:val="32"/>
          <w:szCs w:val="32"/>
        </w:rPr>
        <w:br w:type="page"/>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w:t>
      </w:r>
      <w:bookmarkStart w:id="3" w:name="OLE_LINK5"/>
      <w:r>
        <w:rPr>
          <w:rFonts w:hint="eastAsia" w:ascii="黑体" w:hAnsi="黑体" w:eastAsia="黑体"/>
          <w:sz w:val="32"/>
          <w:szCs w:val="32"/>
        </w:rPr>
        <w:t>面向城市更新的既有建筑抗震韧性提升关键技术研究与示范应用</w:t>
      </w:r>
      <w:bookmarkEnd w:id="3"/>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（一）需求目标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针对既有建筑抗震韧性评估准确性不足、效率不高，现有抗震韧性提升技术造价高的问题，研发钢筋混凝土结构损伤图像高效智能识别技术，建立基于人工智能的抗震韧性评估方法与模型；研究通过增设自复位子结构提升钢筋混凝土框架结构抗震韧性的新技术；研发适用于砖混结构的高延性水泥基加固修复材料；开展示范应用，实现智能、准确的抗震韧性评估与低成本、低影响的韧性提升目标。</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（二）考核指标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1.研发钢筋混凝土结构损伤图像高效智能识别技术和软件平台，构建基于人工智能的抗震韧性评估方法与模型。既有钢筋混凝土结构裂缝可视损伤检测效率较现有方法提升60%，抗震性能评估时长缩短至1小时内。</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形成不少于2种既有钢筋混凝土框架结构增设自复位子结构抗震韧性提升技术，加固部分装配化率（根据《装配式建筑评价标准》GB/T51129）达到80%以上，自复位能力明显提升，罕遇地震后计算残余层间位移角≤0.5%。</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3.研发适用于砖混结构加固的高延性水泥基材料，抗压强度≥30MPa、延伸率≥2%、抗拉强度≥4MPa，提供力学性能第三方检测报告。</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4.在北京地区开展既有钢筋混凝土结构抗震韧性评估及提升和既有砖混结构采用高延性水泥基材料加固的试点示范工程各1项。</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（三）项目交付成果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1.抗震韧性评估模型和软件平台1套。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2.既有钢筋混凝土框架结构增设自复位子结构抗震韧性提升技术总体报告1份。</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3.新型高延性水泥基材料配</w:t>
      </w:r>
      <w:r>
        <w:rPr>
          <w:rFonts w:hint="eastAsia" w:ascii="仿宋_GB2312" w:eastAsia="仿宋_GB2312"/>
          <w:sz w:val="32"/>
          <w:szCs w:val="32"/>
          <w:lang w:eastAsia="zh-CN"/>
        </w:rPr>
        <w:t>制</w:t>
      </w:r>
      <w:r>
        <w:rPr>
          <w:rFonts w:hint="eastAsia" w:ascii="仿宋_GB2312" w:eastAsia="仿宋_GB2312"/>
          <w:sz w:val="32"/>
          <w:szCs w:val="32"/>
        </w:rPr>
        <w:t>工艺文档及第三方检测报告。</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4.示范应用报告及证明。</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（四）项目周期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不超过2年。</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（五）榜单金额</w:t>
      </w:r>
    </w:p>
    <w:p>
      <w:pPr>
        <w:adjustRightInd w:val="0"/>
        <w:snapToGrid w:val="0"/>
        <w:spacing w:line="560" w:lineRule="exact"/>
        <w:ind w:firstLine="640" w:firstLineChars="200"/>
        <w:rPr>
          <w:rFonts w:hint="eastAsia" w:ascii="黑体" w:hAnsi="黑体" w:eastAsia="黑体"/>
          <w:sz w:val="32"/>
          <w:szCs w:val="32"/>
        </w:rPr>
      </w:pPr>
      <w:r>
        <w:rPr>
          <w:rFonts w:hint="eastAsia" w:ascii="仿宋_GB2312" w:eastAsia="仿宋_GB2312"/>
          <w:sz w:val="32"/>
          <w:szCs w:val="32"/>
        </w:rPr>
        <w:t>不超过300万元。</w:t>
      </w: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widowControl/>
        <w:adjustRightInd w:val="0"/>
        <w:snapToGrid w:val="0"/>
        <w:spacing w:line="560" w:lineRule="exact"/>
        <w:ind w:firstLine="200"/>
        <w:rPr>
          <w:rFonts w:hint="eastAsia" w:ascii="黑体" w:hAnsi="黑体" w:eastAsia="黑体"/>
          <w:sz w:val="32"/>
          <w:szCs w:val="32"/>
        </w:rPr>
      </w:pPr>
      <w:r>
        <w:rPr>
          <w:rFonts w:hint="eastAsia" w:ascii="黑体" w:hAnsi="黑体" w:eastAsia="黑体"/>
          <w:sz w:val="32"/>
          <w:szCs w:val="32"/>
        </w:rPr>
        <w:br w:type="page"/>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w:t>
      </w:r>
      <w:bookmarkStart w:id="4" w:name="OLE_LINK6"/>
      <w:r>
        <w:rPr>
          <w:rFonts w:hint="eastAsia" w:ascii="黑体" w:hAnsi="黑体" w:eastAsia="黑体"/>
          <w:sz w:val="32"/>
          <w:szCs w:val="32"/>
        </w:rPr>
        <w:t>地铁暗挖车站地下连续墙关键技术与核心装备自主研制及示范应用</w:t>
      </w:r>
      <w:bookmarkEnd w:id="4"/>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（一）需求目标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针对地铁暗挖车站地下连续墙成槽施工技术与装备适配性不足的问题，研发国内首台套低净空地下连续墙成槽装备及止水关键技术，攻克设备小型化、模块化及卵石地层高效成槽建造等核心技术，研制满足严苛指标的自主化装备，形成“装备-工艺-标准”一体化解决方案并开展工程试验验证，以科技支撑重大工程建设安全，提升核心装备及技术自主化创新水平，推动行业高质量发展。</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（二）考核指标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1.建立基于地下连续墙-梁-拱新型结构体系的暗挖车站成套通用技术方案，包括但不限于设计、施工、验收等方面的技术要求，实现高水头、富水地层条件下地铁车站的不降水或少降水施工。</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研发自主化低净空作业地下连续墙建造装备样机。模块化设计适配狭小空间，工作导洞4m宽×5m高；成槽要求：厚度0.8-1.2m，深度≮50m；设备主要性能参数：电力驱动，铣轮扭矩≥2×80kN·m；排渣与泥浆净化处理能力≥450m</w:t>
      </w:r>
      <w:r>
        <w:rPr>
          <w:rFonts w:ascii="Calibri" w:hAnsi="Calibri" w:eastAsia="仿宋_GB2312" w:cs="Calibri"/>
          <w:sz w:val="32"/>
          <w:szCs w:val="32"/>
        </w:rPr>
        <w:t>³</w:t>
      </w:r>
      <w:r>
        <w:rPr>
          <w:rFonts w:hint="eastAsia" w:ascii="仿宋_GB2312" w:eastAsia="仿宋_GB2312"/>
          <w:sz w:val="32"/>
          <w:szCs w:val="32"/>
        </w:rPr>
        <w:t>/h；设备适用性：成槽垂直度≤3‰，相邻槽段错位＜3‰H（H为地下连续墙深度）；破岩能力单轴抗压强度≮120MPa，卵石地层0.8m厚度、30m深度成槽一幅≤12小时。</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3.在北京地铁工程进行1处低净空作业地下连续墙施工示范应用。</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（三）项目交付成果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1.基于地下连续墙-梁-拱新型结构体系的暗挖车站成套通用技术方案。</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2.自主化低净空作业地下连续墙建造装备样机1套及出厂测试报告。</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3.工程示范应用报告。</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（四）项目周期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不超过2年。</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（五）榜单金额</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不超过400万元。</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w:t>
      </w:r>
    </w:p>
    <w:p>
      <w:pPr>
        <w:widowControl/>
        <w:adjustRightInd w:val="0"/>
        <w:snapToGrid w:val="0"/>
        <w:spacing w:line="560" w:lineRule="exact"/>
        <w:ind w:firstLine="200"/>
        <w:rPr>
          <w:rFonts w:hint="eastAsia" w:ascii="仿宋_GB2312" w:eastAsia="仿宋_GB2312"/>
          <w:sz w:val="32"/>
          <w:szCs w:val="32"/>
        </w:rPr>
      </w:pPr>
      <w:r>
        <w:rPr>
          <w:rFonts w:hint="eastAsia" w:ascii="仿宋_GB2312" w:eastAsia="仿宋_GB2312"/>
          <w:sz w:val="32"/>
          <w:szCs w:val="32"/>
        </w:rPr>
        <w:br w:type="page"/>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w:t>
      </w:r>
      <w:bookmarkStart w:id="5" w:name="OLE_LINK7"/>
      <w:r>
        <w:rPr>
          <w:rFonts w:hint="eastAsia" w:ascii="黑体" w:hAnsi="黑体" w:eastAsia="黑体"/>
          <w:sz w:val="32"/>
          <w:szCs w:val="32"/>
        </w:rPr>
        <w:t>轨道交通工程建设数智化管理与交付技术研发及示范应用</w:t>
      </w:r>
      <w:bookmarkEnd w:id="5"/>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（一）需求目标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针对当前城市轨道交通工程领域存在数据标准不完善、数据价值挖掘不充分、数据协同共享不通畅等问题，通过构建覆盖全生命周期、安全可靠和国产化优先的数据标准体系，研发包含轨道交通工程数据治理方法和智能体、基于AI+信息模型的工程建设数智化管理系统，并在实际工程项目进行示范应用，提升北京城市轨道交通工程建设与交付全过程的数字化和智慧化水平。</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（二）考核指标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构建多源异构数据融合与智能知识中枢。围绕轨道交通工程建设全生命周期管理需求，制定涵盖设计、施工、风险管控、建设管理和资产交付等不少于5类场景（数据类型覆盖率不低于95%）的信息交换规则，实现跨阶段、跨部门、跨层级，安全可追溯的数据互联互通，支撑轨道交通工程数智化建设管理与交付应用。</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2.研发覆盖轨道交通工程建设全过程的多源数据治理方法，支撑领域大模型训练；开发轨道交通工程建设相关智能体，应用于工程质量管理、安全风险防控等不少于2类场景，预警准确率≥90%，执行成功率≥95%。</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3.研发智能建模、智能算量、智能编码等3项关键技术，开发基于AI+信息模型的工程建设数智化管理系统，实现轨道交通工程数智化交付并为运营提供数据底座。</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4.在亦庄线至5号线、10号线联络线项目开展示范应用。</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（三）项目交付成果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1.轨道交通工程建设数智化管理与交付系统1套，包含轨道交通工程建设智能知识中枢系统、智能体软件系统、基于AI+信息模型的工程建设数智化管理系统。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2.轨道交通工程建设信息交换规则1套，涵盖不少于设计、施工、风险管控、建设管理和资产交付等5类场景。</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3.相关源代码、说明文档、使用手册、运维手册等文档资料。</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4.示范应用报告。</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（四）项目周期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不超过2年。</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（五）榜单金额</w:t>
      </w:r>
    </w:p>
    <w:p>
      <w:pPr>
        <w:adjustRightInd w:val="0"/>
        <w:snapToGrid w:val="0"/>
        <w:spacing w:line="560" w:lineRule="exact"/>
        <w:ind w:firstLine="640" w:firstLineChars="200"/>
        <w:rPr>
          <w:rFonts w:hint="eastAsia" w:ascii="黑体" w:hAnsi="黑体" w:eastAsia="黑体"/>
          <w:sz w:val="32"/>
          <w:szCs w:val="32"/>
        </w:rPr>
      </w:pPr>
      <w:r>
        <w:rPr>
          <w:rFonts w:hint="eastAsia" w:ascii="仿宋_GB2312" w:eastAsia="仿宋_GB2312"/>
          <w:sz w:val="32"/>
          <w:szCs w:val="32"/>
        </w:rPr>
        <w:t>不超过300万元。</w:t>
      </w: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widowControl/>
        <w:jc w:val="left"/>
        <w:rPr>
          <w:rFonts w:hint="eastAsia" w:ascii="黑体" w:hAnsi="黑体" w:eastAsia="黑体"/>
          <w:sz w:val="32"/>
          <w:szCs w:val="32"/>
        </w:rPr>
      </w:pPr>
      <w:r>
        <w:rPr>
          <w:rFonts w:hint="eastAsia" w:ascii="黑体" w:hAnsi="黑体" w:eastAsia="黑体"/>
          <w:sz w:val="32"/>
          <w:szCs w:val="32"/>
        </w:rPr>
        <w:br w:type="page"/>
      </w:r>
    </w:p>
    <w:p>
      <w:pPr>
        <w:adjustRightInd w:val="0"/>
        <w:snapToGrid w:val="0"/>
        <w:spacing w:line="560" w:lineRule="exact"/>
        <w:ind w:firstLine="640" w:firstLineChars="200"/>
        <w:rPr>
          <w:rFonts w:hint="eastAsia" w:ascii="黑体" w:hAnsi="黑体" w:eastAsia="黑体"/>
          <w:sz w:val="32"/>
          <w:szCs w:val="32"/>
        </w:rPr>
      </w:pPr>
      <w:bookmarkStart w:id="6" w:name="OLE_LINK3"/>
      <w:r>
        <w:rPr>
          <w:rFonts w:hint="eastAsia" w:ascii="黑体" w:hAnsi="黑体" w:eastAsia="黑体"/>
          <w:sz w:val="32"/>
          <w:szCs w:val="32"/>
        </w:rPr>
        <w:t>七、基于新能源车辆数据与大小模型协同驱动的交通信号控制优化研究与应用</w:t>
      </w:r>
      <w:bookmarkEnd w:id="6"/>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（一）需求目标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针对城市道路交通信号控制（信控）感知数据覆盖范围有限、城市级信控策略与路网协同机制智能化不足等问题，拟充分利用北京市新能源车辆渗透率高的优势，通过融合新能源车辆数据与交管系统路面全量检测数据，构建城市道路交通全时空数据体系；研究大模型宏观决策与小模型微观优化相协同的城市级信控决策与优化技术，研发信控决策及优化系统，并在北京市五环内开展示范应用，实现北京市路网效能的整体提升。</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（二）考核指标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实现北京市新能源车辆数据接入并融合已有交通流检测数据，重构城市道路交通全时空数据体系及关键指标，指标种类包括宏观出行需求、宏中观关键路径特征、微观路口/路段交通流3大类；其中宏中观指标（小时级统计粒度）和微观指标（5分钟级统计粒度）的任意单项指标准确率≥80%。</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实现无现场检测器路口的交通信控方案按周优化；实现人工智能大小模型协同驱动的城市信控决策优化，其中大模型决策支撑主干路网信控节点运行模式和控制目标生成，小模型支撑运行模式和控制目标条件下的配时优化方案生成；大模型决策生成时间≤5分钟、小模型配时优化生成时间≤10秒。</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3.研发大小模型协同驱动的信控决策及优化系统，与现有信控平台实现系统对接，其中单路口车辆平均延误时间降低≥10%；主干路网平均车辆速度提升≥8%。</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4.项目在北京市五环内道路信控场景开展示范应用。其中无检测器信控优化示范应用范围≥30个重点信控路口；大小模型协同驱动信控优化示范应用范围≥300个干线信控路口。</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（三）项目交付物成果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1.融合新能源车辆数据的城市道路交通全时空数据指标体系文档1套。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2.信控专业算法模型库2套和数据集1套。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3.大小模型协同驱动的信控决策及优化系统1套（含系统源代码、说明文档、使用手册等文档资料）。</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4.示范应用报告。</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（四）项目周期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不超过2年。</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（五）榜单金额</w:t>
      </w:r>
    </w:p>
    <w:p>
      <w:pPr>
        <w:adjustRightInd w:val="0"/>
        <w:snapToGrid w:val="0"/>
        <w:spacing w:line="560" w:lineRule="exact"/>
        <w:ind w:firstLine="640" w:firstLineChars="200"/>
        <w:rPr>
          <w:rFonts w:hint="eastAsia" w:ascii="黑体" w:hAnsi="黑体" w:eastAsia="黑体"/>
          <w:sz w:val="32"/>
          <w:szCs w:val="32"/>
        </w:rPr>
      </w:pPr>
      <w:r>
        <w:rPr>
          <w:rFonts w:hint="eastAsia" w:ascii="仿宋_GB2312" w:eastAsia="仿宋_GB2312"/>
          <w:sz w:val="32"/>
          <w:szCs w:val="32"/>
        </w:rPr>
        <w:t>不超过300万元。</w:t>
      </w:r>
    </w:p>
    <w:p>
      <w:pPr>
        <w:widowControl/>
        <w:adjustRightInd w:val="0"/>
        <w:snapToGrid w:val="0"/>
        <w:spacing w:line="560" w:lineRule="exact"/>
        <w:ind w:firstLine="200"/>
        <w:rPr>
          <w:rFonts w:hint="eastAsia" w:ascii="黑体" w:hAnsi="黑体" w:eastAsia="黑体"/>
          <w:sz w:val="32"/>
          <w:szCs w:val="32"/>
        </w:rPr>
      </w:pPr>
      <w:r>
        <w:rPr>
          <w:rFonts w:hint="eastAsia" w:ascii="黑体" w:hAnsi="黑体" w:eastAsia="黑体"/>
          <w:sz w:val="32"/>
          <w:szCs w:val="32"/>
        </w:rPr>
        <w:br w:type="page"/>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w:t>
      </w:r>
      <w:bookmarkStart w:id="7" w:name="OLE_LINK8"/>
      <w:r>
        <w:rPr>
          <w:rFonts w:hint="eastAsia" w:ascii="黑体" w:hAnsi="黑体" w:eastAsia="黑体"/>
          <w:sz w:val="32"/>
          <w:szCs w:val="32"/>
        </w:rPr>
        <w:t>利用AI结合核酸质谱对非人源生物物证的精确检测技术研究与示范应用</w:t>
      </w:r>
      <w:bookmarkEnd w:id="7"/>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（一）需求目标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安禁毒、环食药、森林公安等领域当前非人源生物物证鉴定中，传统技术对破碎、降解、混合样本识别精度低，操作繁琐；缺乏本土专属数据库；质谱数据解析靠人工，效率低、主观性强；检测流程无统一标准，司法证据转化效力不足。针对以上行业痛点，结合北京司法实战与执法需求，研发核酸质谱检测技术，构建自主可控公安专用数据库，建立“样本前处理-质谱检测-AI判定-结果溯源”检测体系，结合AI技术实现物证精准鉴定，提升司法鉴定效能，为相关执法提供技术支撑，助力首都公共安全治理。</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（二）考核指标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构建公安专用非人源生物物证匹配基因数据库1套，覆盖北京地区高发涉案物种≥200种，其中毒品原植物≥5种，源性动植物≥35种，濒危野生动植物≥160种，每物种采集≥2个独立地理种群/个体样本，数据库中每物种至少包含一个完整的线粒体或叶绿体基因组。</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2.建立核酸质谱精准鉴定方法，针对≥20种禁毒、环食药、森林公安三大领域重点检材，实现检出限≤10pg/μL、精密度(RSD)&lt;5%、准确度≥95%；构建核酸质谱特征数据库，每种检材数据≥100条。</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3.研发AI辅助质谱数据和基因数据解析模型，实现物种识别准确率≥95%，并自动生成标准化检测报告。</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4.重点针对禁毒、环食药、森林公安三大领域，每种领域针对≥3个物种开发相应的试剂盒，完成核酸质谱法非人源生物物证鉴定。</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5.构建“样本前处理-质谱检测-AI判定-结果溯源”检测体系，在公安领域不少于1家单位开展示范应用，在涉案实战案件中累计检测非人源生物物证样本≥200份，检测结果为案件侦查提供线索≥20条。</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（三）项目交付物成果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1.公安专用非人源生物物证基因数据库1套。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2.公安专用非人源生物物证核酸质谱数据库1套。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3.AI辅助质谱数据解析模型1套。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4.非人源生物物证核酸质谱鉴定试剂盒不少于9套。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5.相关成果使用手册等文档资料。</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6.示范应用报告。</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（四）项目周期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不超过2年。</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（五）榜单金额</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不超过300万元。</w:t>
      </w:r>
    </w:p>
    <w:p>
      <w:pPr>
        <w:widowControl/>
        <w:adjustRightInd w:val="0"/>
        <w:snapToGrid w:val="0"/>
        <w:spacing w:line="560" w:lineRule="exact"/>
        <w:ind w:firstLine="200"/>
        <w:rPr>
          <w:rFonts w:hint="eastAsia" w:ascii="仿宋_GB2312" w:eastAsia="仿宋_GB2312"/>
          <w:sz w:val="32"/>
          <w:szCs w:val="32"/>
        </w:rPr>
      </w:pPr>
      <w:r>
        <w:rPr>
          <w:rFonts w:hint="eastAsia" w:ascii="仿宋_GB2312" w:eastAsia="仿宋_GB2312"/>
          <w:sz w:val="32"/>
          <w:szCs w:val="32"/>
        </w:rPr>
        <w:br w:type="page"/>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w:t>
      </w:r>
      <w:bookmarkStart w:id="8" w:name="OLE_LINK15"/>
      <w:bookmarkStart w:id="9" w:name="OLE_LINK9"/>
      <w:r>
        <w:rPr>
          <w:rFonts w:hint="eastAsia" w:ascii="黑体" w:hAnsi="黑体" w:eastAsia="黑体"/>
          <w:sz w:val="32"/>
          <w:szCs w:val="32"/>
        </w:rPr>
        <w:t>城市照明系统智能化与安全性提升关键技术及装备研究与示范应用</w:t>
      </w:r>
      <w:bookmarkEnd w:id="8"/>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（一）需求目标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针对北京道路照明设施安全运行监控智能化、精细化程度不足问题，研发城市道路照明系统智能化与安全性提升关键技术与装备，并在北京城六区开展路灯照明场景的示范应用，提升北京城市道路照明供电系统安全预防能力，满足照明低压供电系统和单体路灯安全、节能运行监控需求，以科技手段支撑照明行业“安全、舒适、节能、环保”发展理念。</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（二）考核指标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研制城市照明低压供电安全监测设备。可实现照明供电回路电压电流监测，可检出短路、过流、电弧、漏电、异常负荷接入等异常电气事件；设备具备对外通信、数据上传、远程监测等功能。单套设备可测量照明台区配电箱内单相/三相电压，测量出线电流≥15路，多路异常电气事件测量时间同步相对误差≤10us。</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研制路灯安防调优监测控制设备。具备LED路灯分时段、分场景的无级调光控制，单灯漏电报警，对外通信、数据上传、远程调控等功能。无极调光范围为1%-100%，漏电流采集范围为20mA-5A，在20mA-1A区间测量误差≤±5%。</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研发基于人工智能的城市照明智能安全监控系统。系统具备异常电气事件分析诊断和预警功能，可实现单灯漏电事件、单灯故障的精确定位；具备电气拓扑识别功能。故障电弧检出准确率≥90%，拓扑识别准确度100%，系统并发数≥1000，可实现7×24小时不间断运行。</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城市照明低压供电安全监测设备在北京城六区市属路上不少于10个照明台区应用，包含主干道、次干道等至少3种场景；路灯安防调优监测控制设备在北京城六区市属路上不少于300盏LED路灯进行应用，包含主干道、核心区背街小巷、人行步道等至少3种场景。所有设备、系统均应满足北京市城市照明管理中心网络接入要求，并实际部署。</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（三）项目交付成果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1.城市照明低压供电安全监测设备样机≥10套。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2.路灯安防调优监测控制设备样机≥300套。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3.城市照明智能安全监控系统软件1套，包含城市照明系统异常电气事件特征数据集1套，异常电气事件检测、分析诊断和预警模型算法等相关资料。</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4.示范应用报告。</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（四）项目周期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不超过1年。</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（五）榜单金额</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不超过300万元。</w:t>
      </w: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十、北京地区抗逆新优竹种选育和竹子等园林废弃物生物合成创新研究与示范应用</w:t>
      </w:r>
      <w:bookmarkEnd w:id="9"/>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（一）需求目标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针对北京地区竹景观同质化严重、竹子栽植成活率不高、生长势弱以及园林废弃物资源化利用附加值不高等问题，筛选北京抗寒、抗旱等抗逆新优竹种，研发适生新优竹种栽培养护和地被竹育苗的关键技术体系，开发新优景观竹种的配置模式，并在适生区域示范应用；研发以竹子等园林废弃物为原料生物合成聚羟基脂肪酸酯（PHA）关键技术体系，拓展竹子等园林废弃物高附加值利用模式，推动“种竹增绿、研竹创新、用竹降碳”在首都花园城市建设中的贡献，提升城市生态环境品质和居民生活质量。</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（二）考核指标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1.构建适生北京地区的竹子抗寒、抗旱等综合抗逆评价体系，筛选出北京适生新优竹种≥3种；在北京地区建设≥5种（含新筛选品种）竹繁育圃1处，面积≥5000m</w:t>
      </w:r>
      <w:r>
        <w:rPr>
          <w:rFonts w:hint="eastAsia" w:ascii="仿宋_GB2312" w:eastAsia="仿宋_GB2312"/>
          <w:sz w:val="32"/>
          <w:szCs w:val="32"/>
          <w:vertAlign w:val="superscript"/>
        </w:rPr>
        <w:t>2</w:t>
      </w:r>
      <w:r>
        <w:rPr>
          <w:rFonts w:hint="eastAsia" w:ascii="仿宋_GB2312" w:eastAsia="仿宋_GB2312"/>
          <w:sz w:val="32"/>
          <w:szCs w:val="32"/>
        </w:rPr>
        <w:t>。</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2.创新4种以上不同立地类型的北京适生竹种栽培养护关键技术，构建北京适生新优竹种栽培养护关键技术体系，栽植成活率≥85%。</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3.研发北京适生观赏地被竹的容器育苗技术，较自然繁殖提高繁殖系数2倍以上。</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4.形成北京景观竹种配置模式及种植技术推荐方案≥5种，示范应用面积≥10000m</w:t>
      </w:r>
      <w:r>
        <w:rPr>
          <w:rFonts w:hint="eastAsia" w:ascii="仿宋_GB2312" w:eastAsia="仿宋_GB2312"/>
          <w:sz w:val="32"/>
          <w:szCs w:val="32"/>
          <w:vertAlign w:val="superscript"/>
        </w:rPr>
        <w:t>2</w:t>
      </w:r>
      <w:r>
        <w:rPr>
          <w:rFonts w:hint="eastAsia" w:ascii="仿宋_GB2312" w:eastAsia="仿宋_GB2312"/>
          <w:sz w:val="32"/>
          <w:szCs w:val="32"/>
        </w:rPr>
        <w:t>。</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5.建立以竹子等园林废弃物制备可发酵糖及聚羟基脂肪酸酯（PHA）技术体系1套、规模≥5吨的发酵示范生产线1条。</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（三）项目交付成果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1.北京适生新优竹种≥3种；繁育竹种≥5种（含新筛选品种）。</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2.不同立地类型的北京适生竹种栽培养护关键技术研究报告1份，北京适生新优竹种栽培养护技术规程1套。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3.地被竹容器育苗技术手册1份。</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4.北京景观竹种配置模式及种植技术方案1套，示范应用报告1份。</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5.以竹子等园林废弃物制备可发酵糖及聚羟基脂肪酸酯（PHA）技术手册1份，发酵示范生产线1条。</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（四）项目周期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不超过2年。</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（五）榜单金额</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不超过350万元。</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w:t>
      </w:r>
    </w:p>
    <w:p>
      <w:pPr>
        <w:widowControl/>
        <w:adjustRightInd w:val="0"/>
        <w:snapToGrid w:val="0"/>
        <w:spacing w:line="560" w:lineRule="exact"/>
        <w:ind w:firstLine="200"/>
        <w:rPr>
          <w:rFonts w:hint="eastAsia" w:ascii="仿宋_GB2312" w:eastAsia="仿宋_GB2312"/>
          <w:sz w:val="32"/>
          <w:szCs w:val="32"/>
        </w:rPr>
      </w:pPr>
      <w:r>
        <w:rPr>
          <w:rFonts w:hint="eastAsia" w:ascii="仿宋_GB2312" w:eastAsia="仿宋_GB2312"/>
          <w:sz w:val="32"/>
          <w:szCs w:val="32"/>
        </w:rPr>
        <w:br w:type="page"/>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十一、</w:t>
      </w:r>
      <w:bookmarkStart w:id="10" w:name="OLE_LINK10"/>
      <w:r>
        <w:rPr>
          <w:rFonts w:hint="eastAsia" w:ascii="黑体" w:hAnsi="黑体" w:eastAsia="黑体"/>
          <w:sz w:val="32"/>
          <w:szCs w:val="32"/>
        </w:rPr>
        <w:t>北京地区主要致敏花粉防治产品研发与综合治理技术集成示范</w:t>
      </w:r>
      <w:bookmarkEnd w:id="10"/>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（一）需求目标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针对北京花粉致敏引发的公共健康问题，研发高效花粉防治制剂，集成主要致敏植物分布调查、制剂研发及其他相关防治技术等成果，构建北京主要致敏植物花粉污染综合治理技术体系，编制治理技术导则，并在花粉致敏重点区域开展示范与应用，缓解花粉致敏问题，保障市民健康，助力首都花园城市建设，满足人民群众对美好生态环境的需要。</w:t>
      </w:r>
    </w:p>
    <w:p>
      <w:pPr>
        <w:adjustRightInd w:val="0"/>
        <w:snapToGrid w:val="0"/>
        <w:spacing w:line="560" w:lineRule="exact"/>
        <w:ind w:firstLine="642" w:firstLineChars="200"/>
        <w:rPr>
          <w:rFonts w:hint="eastAsia" w:ascii="仿宋_GB2312" w:eastAsia="仿宋_GB2312"/>
          <w:b/>
          <w:bCs/>
          <w:sz w:val="32"/>
          <w:szCs w:val="32"/>
        </w:rPr>
      </w:pPr>
      <w:r>
        <w:rPr>
          <w:rFonts w:hint="eastAsia" w:ascii="仿宋_GB2312" w:eastAsia="仿宋_GB2312"/>
          <w:b/>
          <w:bCs/>
          <w:sz w:val="32"/>
          <w:szCs w:val="32"/>
        </w:rPr>
        <w:t>（二）考核指标</w:t>
      </w:r>
    </w:p>
    <w:p>
      <w:pPr>
        <w:adjustRightInd w:val="0"/>
        <w:snapToGrid w:val="0"/>
        <w:spacing w:line="560" w:lineRule="exact"/>
        <w:ind w:firstLine="640" w:firstLineChars="200"/>
        <w:rPr>
          <w:rFonts w:hint="eastAsia" w:ascii="仿宋_GB2312" w:eastAsia="仿宋_GB2312"/>
          <w:sz w:val="32"/>
          <w:szCs w:val="32"/>
        </w:rPr>
      </w:pPr>
      <w:bookmarkStart w:id="11" w:name="OLE_LINK17"/>
      <w:r>
        <w:rPr>
          <w:rFonts w:hint="eastAsia" w:ascii="仿宋_GB2312" w:eastAsia="仿宋_GB2312"/>
          <w:sz w:val="32"/>
          <w:szCs w:val="32"/>
        </w:rPr>
        <w:t>1.针对圆柏、侧柏等北京春季主要致敏植物，研发2种以上、无刺激性、无致敏性制剂，与对照相比单株雄球花形成量降低70%以上；形成配套技术清单，包括制剂种类、剂量和配比，施用技术等信息；在北京建成区开展示范应用，示范点位不少于10处（需包含天坛公园、奥林匹克森林公园、圆明园等地区），完成制剂示范应用株树总计20000棵以上。</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2.针对菊科蒿属、桑科</w:t>
      </w:r>
      <w:r>
        <w:rPr>
          <w:rFonts w:hint="eastAsia" w:ascii="微软雅黑" w:hAnsi="微软雅黑" w:eastAsia="微软雅黑" w:cs="微软雅黑"/>
          <w:sz w:val="32"/>
          <w:szCs w:val="32"/>
        </w:rPr>
        <w:t>葎</w:t>
      </w:r>
      <w:r>
        <w:rPr>
          <w:rFonts w:hint="eastAsia" w:ascii="仿宋_GB2312" w:hAnsi="仿宋_GB2312" w:eastAsia="仿宋_GB2312" w:cs="仿宋_GB2312"/>
          <w:sz w:val="32"/>
          <w:szCs w:val="32"/>
        </w:rPr>
        <w:t>草属等秋季主要致敏植物，研发</w:t>
      </w:r>
      <w:r>
        <w:rPr>
          <w:rFonts w:hint="eastAsia" w:ascii="仿宋_GB2312" w:eastAsia="仿宋_GB2312"/>
          <w:sz w:val="32"/>
          <w:szCs w:val="32"/>
        </w:rPr>
        <w:t>2种以上、无刺激性、无致敏性制剂，花粉抑制率不低于70%；形成配套技术清单，包括制剂种类、剂量和配比，施用技术等信息。在北京建成区开展示范应用，示范点位不少于10处，总面积50亩以上。</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3.开展北京市花粉致敏重点区域秋季主要致敏植物分布情况调查，形成《北京市花粉致敏重点区域秋季致敏植物分布格局图集》。</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4.集成主要致敏植物分布调查、制剂研发及其他相关防治技术等成果，构建北京春秋季主要致敏植物花粉污染综合治理技术体系，编制《北京主要致敏植物花粉综合治理技术导则》。</w:t>
      </w:r>
      <w:bookmarkEnd w:id="11"/>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（三）项目交付成果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1.提交预防圆柏、侧柏等春季主要致敏植物2种以上、无刺激性、无致敏性制剂；配套技术清单1套；示范点位不少于10处，应用株</w:t>
      </w:r>
      <w:bookmarkStart w:id="18" w:name="_GoBack"/>
      <w:r>
        <w:rPr>
          <w:rFonts w:hint="eastAsia" w:ascii="仿宋_GB2312" w:eastAsia="仿宋_GB2312"/>
          <w:sz w:val="32"/>
          <w:szCs w:val="32"/>
        </w:rPr>
        <w:t>树</w:t>
      </w:r>
      <w:bookmarkEnd w:id="18"/>
      <w:r>
        <w:rPr>
          <w:rFonts w:hint="eastAsia" w:ascii="仿宋_GB2312" w:eastAsia="仿宋_GB2312"/>
          <w:sz w:val="32"/>
          <w:szCs w:val="32"/>
        </w:rPr>
        <w:t>总计20000棵以上。</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2.提交预防菊科蒿属、桑科</w:t>
      </w:r>
      <w:r>
        <w:rPr>
          <w:rFonts w:hint="eastAsia" w:ascii="微软雅黑" w:hAnsi="微软雅黑" w:eastAsia="微软雅黑" w:cs="微软雅黑"/>
          <w:sz w:val="32"/>
          <w:szCs w:val="32"/>
        </w:rPr>
        <w:t>葎</w:t>
      </w:r>
      <w:r>
        <w:rPr>
          <w:rFonts w:hint="eastAsia" w:ascii="仿宋_GB2312" w:hAnsi="仿宋_GB2312" w:eastAsia="仿宋_GB2312" w:cs="仿宋_GB2312"/>
          <w:sz w:val="32"/>
          <w:szCs w:val="32"/>
        </w:rPr>
        <w:t>草属等秋季主要致敏植物</w:t>
      </w:r>
      <w:r>
        <w:rPr>
          <w:rFonts w:hint="eastAsia" w:ascii="仿宋_GB2312" w:eastAsia="仿宋_GB2312"/>
          <w:sz w:val="32"/>
          <w:szCs w:val="32"/>
        </w:rPr>
        <w:t>2种以上、无刺激性、无致敏性制剂；形成配套技术清单1套，示范点位不少于10处，总面积50亩以上。</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3.《北京市重点区域秋季致敏植物分布格局图集》1套。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4.《北京主要致敏植物花粉综合治理技术导则》1套。</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（四）项目周期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不超过2年。</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（五）榜单金额</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不超过250万元。</w:t>
      </w: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十二、</w:t>
      </w:r>
      <w:bookmarkStart w:id="12" w:name="OLE_LINK11"/>
      <w:r>
        <w:rPr>
          <w:rFonts w:hint="eastAsia" w:ascii="黑体" w:hAnsi="黑体" w:eastAsia="黑体"/>
          <w:sz w:val="32"/>
          <w:szCs w:val="32"/>
        </w:rPr>
        <w:t>基于知识图谱与3D姿态识别的智能游泳训练系统研究与示范应用</w:t>
      </w:r>
      <w:bookmarkEnd w:id="12"/>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（一）需求目标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针对游泳训练中实时速度与姿态反馈不足、训练过程分析精度有限等问题，聚焦竞技游泳训练中典型泳姿的智能化训练场景，研发基于视频的训练速度及姿态自动采集系统、无接触呼吸信息采集系统和相关分析技术；构建基于知识图谱与3D姿态识别的智能游泳训练系统，并在实际游泳训练场景中进行示范应用和交付使用，提升游泳训练的科学化、精细化水平。</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（二）考核指标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构建泳姿泳速采集系统，3D骨骼关键点识别准确率≥95%（覆盖肩、肘、腕、髋、膝、踝及躯干等核心关节点），单次训练结束后自动生成包含训练视频、速度曲线与3D姿态数据的可视化分析报告，满足4种泳姿（如自由泳、仰泳、蛙泳、蝶泳）的专业游泳技术分析需求。针对关键点位（如出发15米处、转身后5米等）系统输出的运动员瞬时速度测算结果，与基准测速结果相比，相对误差不高于5%，满足专业游泳训练速度分析需求。</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2.构建呼吸信息采集系统，采集运动员训练中呼吸频率数据，并将呼吸数据接入智能游泳训练系统中，帮助教练员团队对运动员的游泳训练进行综合判断。</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构建基于知识图谱与3D姿态识别的智能游泳训练系统，包括但不限于训练视频、3D分析数据及呼吸数据等核心内容，支持历史训练数据存储、查询与对比分析，完成数据入库和管理权限配置机制部署；生成3D可视化分析报告，全流程时间≤50分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4.开展示范应用。</w:t>
      </w:r>
      <w:r>
        <w:rPr>
          <w:rFonts w:hint="eastAsia" w:ascii="仿宋_GB2312" w:hAnsi="仿宋_GB2312" w:eastAsia="仿宋_GB2312" w:cs="仿宋_GB2312"/>
          <w:sz w:val="32"/>
          <w:szCs w:val="32"/>
        </w:rPr>
        <w:t>在专业游泳队的</w:t>
      </w:r>
      <w:r>
        <w:rPr>
          <w:rFonts w:hint="eastAsia" w:ascii="仿宋_GB2312" w:eastAsia="仿宋_GB2312"/>
          <w:sz w:val="32"/>
          <w:szCs w:val="32"/>
        </w:rPr>
        <w:t>示范应用场景下连续运行不少于9个月，系统核心功能（数据采集、处理、报告生成）可用性≥98%，数据库覆盖5000人次的训练数据。</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（三）项目交付成果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1.覆盖一条泳道基于知识图谱与3D姿态识别的智能游泳训练系统（包括泳姿泳速采集系统和呼吸信息采集系统等）及相关软硬件，提供相关源代码、说明文档、使用手册、运维手册等文档资料。</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2.示范应用报告及证明。</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（四）项目周期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不超过2年。</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（五）榜单金额</w:t>
      </w:r>
    </w:p>
    <w:p>
      <w:pPr>
        <w:adjustRightInd w:val="0"/>
        <w:snapToGrid w:val="0"/>
        <w:spacing w:line="560" w:lineRule="exact"/>
        <w:ind w:firstLine="640" w:firstLineChars="200"/>
        <w:rPr>
          <w:rFonts w:hint="eastAsia" w:ascii="黑体" w:hAnsi="黑体" w:eastAsia="黑体"/>
          <w:sz w:val="32"/>
          <w:szCs w:val="32"/>
        </w:rPr>
      </w:pPr>
      <w:r>
        <w:rPr>
          <w:rFonts w:hint="eastAsia" w:ascii="仿宋_GB2312" w:eastAsia="仿宋_GB2312"/>
          <w:sz w:val="32"/>
          <w:szCs w:val="32"/>
        </w:rPr>
        <w:t>不超过300万元。</w:t>
      </w: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widowControl/>
        <w:adjustRightInd w:val="0"/>
        <w:snapToGrid w:val="0"/>
        <w:spacing w:line="560" w:lineRule="exact"/>
        <w:ind w:firstLine="200"/>
        <w:rPr>
          <w:rFonts w:hint="eastAsia" w:ascii="黑体" w:hAnsi="黑体" w:eastAsia="黑体"/>
          <w:sz w:val="32"/>
          <w:szCs w:val="32"/>
        </w:rPr>
      </w:pPr>
      <w:r>
        <w:rPr>
          <w:rFonts w:hint="eastAsia" w:ascii="黑体" w:hAnsi="黑体" w:eastAsia="黑体"/>
          <w:sz w:val="32"/>
          <w:szCs w:val="32"/>
        </w:rPr>
        <w:br w:type="page"/>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十三、</w:t>
      </w:r>
      <w:bookmarkStart w:id="13" w:name="OLE_LINK13"/>
      <w:r>
        <w:rPr>
          <w:rFonts w:hint="eastAsia" w:ascii="黑体" w:hAnsi="黑体" w:eastAsia="黑体"/>
          <w:sz w:val="32"/>
          <w:szCs w:val="32"/>
        </w:rPr>
        <w:t>基于人工智能的智慧养老院服务与监管协同调度关键技术研发及示范应用</w:t>
      </w:r>
      <w:bookmarkEnd w:id="13"/>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（一）需求目标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面向智慧养老院服务管理与主管部门监管效能提升需求，针对养老院数智化建设滞后和数据孤岛等问题，突破多源异构数据融合的服务与监管协同调度等关键技术，研发智慧养老院服务管理与监管协同云平台，可对接北京市养老服务与管理信息平台，实现主管部门实时监管；研发老年人康养服务智能终端，提供专业化、精细化、个性化养老服务。研究成果为北京市智慧养老院规范化建设提供科技支撑。</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（二）考核指标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构建智慧养老院服务管理与监管协同云平台，具备机构运营、照护服务、安全防控、资源调度、家属协同、政府监管等功能；可接入不少于5类智能监控与照护服务设备（涵盖环境、安全、健康、摄食等）；具备对智能轮椅、服务机器人等设备监控，实现精准调度、送餐送药等功能;具备对服务合规、安全保障、权益维护、运营规范等不少于4方面的异常自动识别报警与监管功能，异常识别率≥90%。</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研制基于智慧养老院服务管理与监管协同云平台的老年人康养服务智能终端设备。终端内置以“一人一策”为核心的人工智能服务算法，具备环境、行为、健康、安全、权益等数据与云平台交互功能，可实时生成并推送个性化照护建议；支持不少于3种多模态感知与交互，实现医疗指导、生活照护、精神慰藉、安全救助四大类20项以上康养服务支持；康养服务智能终端设备成本≤1000元/台。</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3.形成北京市智慧养老院建设指南与评估标准，明确建设边界、配置标准、技术参数与管理要求等。</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4.在市属养老服务机构开展示范应用，需覆盖≥100位老年人，合规部署、实际运营示范周期≥3个月。</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（三）项目交付成果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1.智慧养老院服务管理与监管协同云平台1套。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2.康养服务智能终端设备≥50个。</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3.智慧养老院建设指南和评估标准各1部。</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4.相关源代码、可执行程序、、说明文档、技术手册、运维手册等文档资料。</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5.示范应用报告及证明。</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（四）项目周期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不超过2年。</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（五）榜单金额</w:t>
      </w:r>
    </w:p>
    <w:p>
      <w:pPr>
        <w:adjustRightInd w:val="0"/>
        <w:snapToGrid w:val="0"/>
        <w:spacing w:line="560" w:lineRule="exact"/>
        <w:ind w:firstLine="640" w:firstLineChars="200"/>
        <w:rPr>
          <w:rFonts w:hint="eastAsia" w:ascii="黑体" w:hAnsi="黑体" w:eastAsia="黑体"/>
          <w:sz w:val="32"/>
          <w:szCs w:val="32"/>
        </w:rPr>
      </w:pPr>
      <w:r>
        <w:rPr>
          <w:rFonts w:hint="eastAsia" w:ascii="仿宋_GB2312" w:eastAsia="仿宋_GB2312"/>
          <w:sz w:val="32"/>
          <w:szCs w:val="32"/>
        </w:rPr>
        <w:t>不超过300万元。</w:t>
      </w: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p>
    <w:p>
      <w:pPr>
        <w:widowControl/>
        <w:jc w:val="left"/>
        <w:rPr>
          <w:rFonts w:hint="eastAsia" w:ascii="黑体" w:hAnsi="黑体" w:eastAsia="黑体"/>
          <w:sz w:val="32"/>
          <w:szCs w:val="32"/>
        </w:rPr>
      </w:pPr>
      <w:r>
        <w:rPr>
          <w:rFonts w:hint="eastAsia" w:ascii="黑体" w:hAnsi="黑体" w:eastAsia="黑体"/>
          <w:sz w:val="32"/>
          <w:szCs w:val="32"/>
        </w:rPr>
        <w:br w:type="page"/>
      </w:r>
    </w:p>
    <w:p>
      <w:pPr>
        <w:adjustRightInd w:val="0"/>
        <w:snapToGrid w:val="0"/>
        <w:spacing w:line="560" w:lineRule="exact"/>
        <w:ind w:firstLine="640" w:firstLineChars="200"/>
        <w:rPr>
          <w:rFonts w:hint="eastAsia" w:ascii="黑体" w:hAnsi="黑体" w:eastAsia="黑体" w:cs="黑体"/>
          <w:color w:val="000000"/>
          <w:sz w:val="32"/>
          <w:szCs w:val="32"/>
        </w:rPr>
      </w:pPr>
      <w:r>
        <w:rPr>
          <w:rFonts w:hint="eastAsia" w:ascii="黑体" w:hAnsi="黑体" w:eastAsia="黑体"/>
          <w:sz w:val="32"/>
          <w:szCs w:val="32"/>
        </w:rPr>
        <w:t>十四、</w:t>
      </w:r>
      <w:bookmarkStart w:id="14" w:name="OLE_LINK12"/>
      <w:r>
        <w:rPr>
          <w:rFonts w:hint="eastAsia" w:ascii="黑体" w:hAnsi="黑体" w:eastAsia="黑体" w:cs="黑体"/>
          <w:color w:val="000000"/>
          <w:sz w:val="32"/>
          <w:szCs w:val="32"/>
        </w:rPr>
        <w:t>基于多源数据融合的环境资源智能辅助技术研究与示范应用</w:t>
      </w:r>
      <w:bookmarkEnd w:id="14"/>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（一）需求目标</w:t>
      </w:r>
    </w:p>
    <w:p>
      <w:pPr>
        <w:pStyle w:val="11"/>
        <w:adjustRightInd w:val="0"/>
        <w:snapToGrid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为破解北京市资源保护和生态环境领域破坏线索发现难的技术难题，利用卫星遥感、人工智能、数据融合等技术，以精准打击“</w:t>
      </w:r>
      <w:r>
        <w:rPr>
          <w:rFonts w:ascii="仿宋_GB2312" w:hAnsi="仿宋_GB2312" w:eastAsia="仿宋_GB2312" w:cs="仿宋_GB2312"/>
          <w:sz w:val="32"/>
          <w:szCs w:val="32"/>
        </w:rPr>
        <w:t>私挖盗采”</w:t>
      </w:r>
      <w:r>
        <w:rPr>
          <w:rFonts w:hint="eastAsia" w:ascii="仿宋_GB2312" w:hAnsi="仿宋_GB2312" w:eastAsia="仿宋_GB2312" w:cs="仿宋_GB2312"/>
          <w:sz w:val="32"/>
          <w:szCs w:val="32"/>
        </w:rPr>
        <w:t>破坏生态类事件为应用目标，研发一套环境资源领域智能辅助技术系统，助力提升工作水平。</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（二）考核指标</w:t>
      </w:r>
    </w:p>
    <w:p>
      <w:pPr>
        <w:adjustRightInd w:val="0"/>
        <w:snapToGrid w:val="0"/>
        <w:spacing w:line="560" w:lineRule="exact"/>
        <w:ind w:firstLine="640" w:firstLineChars="200"/>
        <w:rPr>
          <w:rFonts w:hint="eastAsia"/>
        </w:rPr>
      </w:pPr>
      <w:r>
        <w:rPr>
          <w:rFonts w:hint="eastAsia" w:ascii="仿宋_GB2312" w:hAnsi="仿宋_GB2312" w:eastAsia="仿宋_GB2312" w:cs="仿宋_GB2312"/>
          <w:sz w:val="32"/>
          <w:szCs w:val="32"/>
        </w:rPr>
        <w:t>1.研发基于卫星遥感、地理位置数据、文本数据等多源时空数据融合的“私挖盗采”类事件线索发现模型，实现对隐蔽性“私挖盗采”活动的高准确性识别，线索发现准确率≥80%。</w:t>
      </w:r>
    </w:p>
    <w:p>
      <w:pPr>
        <w:adjustRightInd w:val="0"/>
        <w:snapToGrid w:val="0"/>
        <w:spacing w:line="560" w:lineRule="exact"/>
        <w:ind w:firstLine="640" w:firstLineChars="200"/>
        <w:rPr>
          <w:rFonts w:hint="eastAsia"/>
        </w:rPr>
      </w:pPr>
      <w:r>
        <w:rPr>
          <w:rFonts w:hint="eastAsia" w:ascii="仿宋_GB2312" w:hAnsi="仿宋_GB2312" w:eastAsia="仿宋_GB2312" w:cs="仿宋_GB2312"/>
          <w:sz w:val="32"/>
          <w:szCs w:val="32"/>
        </w:rPr>
        <w:t>2.研发基于海量密集地理位置数据的特定异常行为模式识别算法，构建“异常行为”与“遥感识别靶区”时空关联与因果分析方法，厘定责任主体与涉事物溯源准确率≥85%。</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3.研发“私挖盗采”采矿量体积估算模型，体积估算误差率低于5%。</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研发多源数据融合智能辅助技术系统，系统支持卫星遥感影像、地理位置数据、文本数据等多源异构数据一体化接入、清洗、汇聚与融合，数据类型不少于7类，可满足“线索识别-事件办理-成效评估-风险预警”的全流程辅助工作要求。</w:t>
      </w:r>
    </w:p>
    <w:p>
      <w:pPr>
        <w:pStyle w:val="11"/>
        <w:adjustRightInd w:val="0"/>
        <w:snapToGrid w:val="0"/>
        <w:spacing w:after="0" w:line="560" w:lineRule="exact"/>
        <w:ind w:firstLine="640" w:firstLineChars="200"/>
        <w:rPr>
          <w:rFonts w:eastAsia="仿宋_GB2312"/>
        </w:rPr>
      </w:pPr>
      <w:r>
        <w:rPr>
          <w:rFonts w:hint="eastAsia" w:ascii="仿宋_GB2312" w:hAnsi="仿宋_GB2312" w:eastAsia="仿宋_GB2312" w:cs="仿宋_GB2312"/>
          <w:sz w:val="32"/>
          <w:szCs w:val="32"/>
        </w:rPr>
        <w:t>5.在北京市不少于2个本系统区级单位开展示范应用。</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（三）项目交付成果</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针对“私挖盗采”类事件线索发现模型1套。</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2.基于海量密集地理位置数据的特定异常行为模式识别算法1套。</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“私挖盗采”采矿量体积估算模型1套。</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多源数据融合智能辅助技术系统1套。</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5.相关成果的源代码、说明文档、使用手册等文档资料。</w:t>
      </w:r>
    </w:p>
    <w:p>
      <w:pPr>
        <w:pStyle w:val="11"/>
        <w:adjustRightInd w:val="0"/>
        <w:snapToGrid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示范应用报告。</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（四）项目周期</w:t>
      </w:r>
    </w:p>
    <w:p>
      <w:pPr>
        <w:pStyle w:val="11"/>
        <w:adjustRightInd w:val="0"/>
        <w:snapToGrid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不超过2年。</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（五）榜单金额</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不超过300万元。</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w:t>
      </w:r>
    </w:p>
    <w:p>
      <w:pPr>
        <w:widowControl/>
        <w:adjustRightInd w:val="0"/>
        <w:snapToGrid w:val="0"/>
        <w:spacing w:line="560" w:lineRule="exact"/>
        <w:ind w:firstLine="200"/>
        <w:rPr>
          <w:rFonts w:hint="eastAsia" w:ascii="仿宋_GB2312" w:eastAsia="仿宋_GB2312"/>
          <w:sz w:val="32"/>
          <w:szCs w:val="32"/>
        </w:rPr>
      </w:pPr>
      <w:r>
        <w:rPr>
          <w:rFonts w:hint="eastAsia" w:ascii="仿宋_GB2312" w:eastAsia="仿宋_GB2312"/>
          <w:sz w:val="32"/>
          <w:szCs w:val="32"/>
        </w:rPr>
        <w:br w:type="page"/>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十五、</w:t>
      </w:r>
      <w:bookmarkStart w:id="15" w:name="OLE_LINK14"/>
      <w:r>
        <w:rPr>
          <w:rFonts w:hint="eastAsia" w:ascii="黑体" w:hAnsi="黑体" w:eastAsia="黑体"/>
          <w:sz w:val="32"/>
          <w:szCs w:val="32"/>
        </w:rPr>
        <w:t>森林火灾扑救指挥复杂因素耦合智能仿真推演关键技术研究及示范应用</w:t>
      </w:r>
      <w:bookmarkEnd w:id="15"/>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（一）需求目标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当前北京市森林火灾风险加剧、复杂条件下森林火灾扑救处置难度大，森林火灾扑救指挥能力亟需提升。研究多源时空数据驱动的复杂因素耦合森林火场发展机理，研发多因素耦合下的多角色交互式智能联动推演算法，构建多元决策回溯与分析技术，研制基于森林火灾扑救指挥复杂因素耦合智能仿真推演设备，为我国森林防灭火指挥体系现代化与专业化人才培养提供关键技术支撑与装备保障。</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（二）考核指标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1.建立多因素耦合的森林火灾蔓延模型，火场蔓延预测步长≤30分钟，对48小时火场蔓延模型计算和推演时间≤90秒；支持火场模拟人为干预后的模型再计算，模型更新频率≤3秒/次。</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支持“市-区-现场”三级指挥层级模拟演练，可动态注入火势变化、装备损毁、交通拥堵等突发事件不少于30类，支持处置预案即时生成并实现任务角色关联和自动标绘，关键虚拟角色联动数量不少于100个，真实角色与关键虚拟角色智能人机交互准确率≥96%。</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3.仿真推演中的资源（队伍、装备、物资）指挥逻辑与北京市森林火灾处置调度决策一致性≥90%，系统智能复盘报告生成时间≤2秒，支持调度策略自定义，有效性≥90%。</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4.平台操作延迟≤500毫秒，系统动态参数调整响应时间≤1秒，可同时承载不少于3个独立火场场景的扑救仿真推演任务。</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5.应用示范地点不少于4个，时间不少于9个月，演训不少于1000人次。所有设备功能、性能须贴合北京市森林消防业务工作实际。</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（三）项目交付成果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1.森林火灾扑救指挥复杂因素耦合智能仿真推演系统与设备1组（含说明文档、使用手册等文档资料）。</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2.多因素耦合下的人工智能联动推演算法1套。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3.示范应用报告。</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（四）项目周期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不超过2年。</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（五）榜单金额</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不超过300万元。</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w:t>
      </w:r>
    </w:p>
    <w:p>
      <w:pPr>
        <w:widowControl/>
        <w:adjustRightInd w:val="0"/>
        <w:snapToGrid w:val="0"/>
        <w:spacing w:line="560" w:lineRule="exact"/>
        <w:ind w:firstLine="200"/>
        <w:rPr>
          <w:rFonts w:hint="eastAsia" w:ascii="仿宋_GB2312" w:eastAsia="仿宋_GB2312"/>
          <w:sz w:val="32"/>
          <w:szCs w:val="32"/>
        </w:rPr>
      </w:pPr>
      <w:r>
        <w:rPr>
          <w:rFonts w:hint="eastAsia" w:ascii="仿宋_GB2312" w:eastAsia="仿宋_GB2312"/>
          <w:sz w:val="32"/>
          <w:szCs w:val="32"/>
        </w:rPr>
        <w:br w:type="page"/>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十六、</w:t>
      </w:r>
      <w:bookmarkStart w:id="16" w:name="OLE_LINK16"/>
      <w:r>
        <w:rPr>
          <w:rFonts w:hint="eastAsia" w:ascii="黑体" w:hAnsi="黑体" w:eastAsia="黑体"/>
          <w:sz w:val="32"/>
          <w:szCs w:val="32"/>
        </w:rPr>
        <w:t>面向国际人才创新创业的服务精准推荐与智能交互技术研究与示范应用</w:t>
      </w:r>
      <w:bookmarkEnd w:id="16"/>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（一）需求目标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针对国际人才来京创新创业存在信息碎片化、服务断档及效率不足的问题，通过面向国际人才创新创业的精准推荐与智能交互技术的研究，构建基于多语言、多模态、安全的数据融合与智能治理的中枢系统，对分散的政策、机构、活动、岗位、资本及生活信息（简称“六大核心场景”）进行语义化整合，实现精准匹配；集成服务与业务办理引导，覆盖从查询到落地的全流程，推动服务模式从“人找服务”向“服务找人”的转变，从而为国际人才在京创新创业提供全周期、主动、精准的对接支持，增强北京国际人才服务的整体效能。</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（二）考核指标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构建面向国际人才创新创业的知识图谱，实现基于大模型技术的知识图谱自动更新；月度增量、季度全量更新可追溯；大模型政策解读能力正确率≥95%；开发支持多轮、多语言交互的智能助手；六大核心场景智能推荐Top-3准确率≥80%；搜索命中率≥80%；核心接口响应时间≤5秒。</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搭建支持三端访问（App、小程序及网页）的智能服务系统，须包含海外人才和创业项目数据≥1万条，政策≥1000条；重要政策信息更新延迟≤24小时；包含接入的服务机构≥120家（含多语言机构≥20家，投资孵化机构≥20家），入库专家≥100名（含外籍专家≥30名）。</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系统符合《中华人民共和国数据安全法》、《中华人民共和国个人信息保护法》，通过安全等级保护（三级）测评或等效渗透测试；个人、政府及企业信息数据脱敏或加密率达100%；支持针对六大核心场景的隐私计算功能；通过第三方安全审计。</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4.在北京不少于2个地区相关业务单位落地示范应用，服务人数超过1000人，用户信息反馈满意度≥80%。</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（三）项目交付成果</w:t>
      </w:r>
    </w:p>
    <w:p>
      <w:pPr>
        <w:adjustRightInd w:val="0"/>
        <w:snapToGrid w:val="0"/>
        <w:spacing w:line="560" w:lineRule="exact"/>
        <w:ind w:firstLine="640" w:firstLineChars="200"/>
        <w:rPr>
          <w:rFonts w:hint="eastAsia" w:ascii="仿宋_GB2312" w:eastAsia="仿宋_GB2312"/>
          <w:sz w:val="32"/>
          <w:szCs w:val="32"/>
        </w:rPr>
      </w:pPr>
      <w:bookmarkStart w:id="17" w:name="OLE_LINK18"/>
      <w:r>
        <w:rPr>
          <w:rFonts w:hint="eastAsia" w:ascii="仿宋_GB2312" w:eastAsia="仿宋_GB2312"/>
          <w:sz w:val="32"/>
          <w:szCs w:val="32"/>
        </w:rPr>
        <w:t>1.智能推荐与交互的核心算法模型1套。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2.可动态更新的资源知识图谱结构化数据资产包1套。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3.可独立运行的智能服务系统1套。</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4.相关设计、接口、说明文档、使用手册、运维手册等文档资料。</w:t>
      </w:r>
      <w:bookmarkEnd w:id="17"/>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5.示范应用报告及证明。</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（四）项目周期</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不超过2年。</w:t>
      </w:r>
    </w:p>
    <w:p>
      <w:pPr>
        <w:adjustRightInd w:val="0"/>
        <w:snapToGrid w:val="0"/>
        <w:spacing w:line="560" w:lineRule="exact"/>
        <w:ind w:firstLine="642" w:firstLineChars="200"/>
        <w:rPr>
          <w:rFonts w:hint="eastAsia" w:ascii="楷体_GB2312" w:eastAsia="楷体_GB2312"/>
          <w:b/>
          <w:bCs/>
          <w:sz w:val="32"/>
          <w:szCs w:val="32"/>
        </w:rPr>
      </w:pPr>
      <w:r>
        <w:rPr>
          <w:rFonts w:hint="eastAsia" w:ascii="楷体_GB2312" w:eastAsia="楷体_GB2312"/>
          <w:b/>
          <w:bCs/>
          <w:sz w:val="32"/>
          <w:szCs w:val="32"/>
        </w:rPr>
        <w:t>（五）榜单金额</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不超过300万元。</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6077588"/>
      <w:docPartObj>
        <w:docPartGallery w:val="AutoText"/>
      </w:docPartObj>
    </w:sdtPr>
    <w:sdtContent>
      <w:p>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F9"/>
    <w:rsid w:val="00000AB6"/>
    <w:rsid w:val="0003484D"/>
    <w:rsid w:val="00034BA5"/>
    <w:rsid w:val="00034C4B"/>
    <w:rsid w:val="0006521D"/>
    <w:rsid w:val="000C40EA"/>
    <w:rsid w:val="000D2750"/>
    <w:rsid w:val="000D4EAA"/>
    <w:rsid w:val="000F2FD4"/>
    <w:rsid w:val="00177AB6"/>
    <w:rsid w:val="001A29F9"/>
    <w:rsid w:val="001C1C49"/>
    <w:rsid w:val="001F031F"/>
    <w:rsid w:val="003359C8"/>
    <w:rsid w:val="003A27BB"/>
    <w:rsid w:val="003E58B2"/>
    <w:rsid w:val="003E74B1"/>
    <w:rsid w:val="00406E07"/>
    <w:rsid w:val="00432060"/>
    <w:rsid w:val="00510EB4"/>
    <w:rsid w:val="00511874"/>
    <w:rsid w:val="00533AB9"/>
    <w:rsid w:val="00534F9F"/>
    <w:rsid w:val="0055255C"/>
    <w:rsid w:val="00572299"/>
    <w:rsid w:val="0058610D"/>
    <w:rsid w:val="00626A6B"/>
    <w:rsid w:val="00651C69"/>
    <w:rsid w:val="0079105F"/>
    <w:rsid w:val="0084057D"/>
    <w:rsid w:val="008959EC"/>
    <w:rsid w:val="008C6B6A"/>
    <w:rsid w:val="008F0F71"/>
    <w:rsid w:val="009F6A4C"/>
    <w:rsid w:val="009F7B81"/>
    <w:rsid w:val="00A8436E"/>
    <w:rsid w:val="00AC177E"/>
    <w:rsid w:val="00B22618"/>
    <w:rsid w:val="00B24B5C"/>
    <w:rsid w:val="00B574A6"/>
    <w:rsid w:val="00BB1B9A"/>
    <w:rsid w:val="00BC13EA"/>
    <w:rsid w:val="00CD2D9A"/>
    <w:rsid w:val="00CD6E3D"/>
    <w:rsid w:val="00D47CAF"/>
    <w:rsid w:val="00E10246"/>
    <w:rsid w:val="00E51DA2"/>
    <w:rsid w:val="00ED4FD8"/>
    <w:rsid w:val="00FD57C7"/>
    <w:rsid w:val="3EFF1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
    <w:link w:val="39"/>
    <w:unhideWhenUsed/>
    <w:qFormat/>
    <w:uiPriority w:val="99"/>
    <w:pPr>
      <w:spacing w:after="120"/>
    </w:pPr>
    <w:rPr>
      <w:rFonts w:ascii="Times New Roman" w:hAnsi="Times New Roman" w:eastAsia="宋体" w:cs="Times New Roman"/>
      <w:szCs w:val="24"/>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paragraph" w:customStyle="1" w:styleId="38">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9">
    <w:name w:val="正文文本 字符"/>
    <w:basedOn w:val="17"/>
    <w:link w:val="11"/>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6206</Words>
  <Characters>7137</Characters>
  <Lines>310</Lines>
  <Paragraphs>180</Paragraphs>
  <TotalTime>261</TotalTime>
  <ScaleCrop>false</ScaleCrop>
  <LinksUpToDate>false</LinksUpToDate>
  <CharactersWithSpaces>13163</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2026-03-19T10:38:00Z</dcterms:created>
  <dc:creator>先生 姜</dc:creator>
  <cp:lastModifiedBy>user</cp:lastModifiedBy>
  <dcterms:modified xsi:type="dcterms:W3CDTF">2026-03-30T14:52:49Z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